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495" w:rsidRPr="00E35495" w:rsidRDefault="00196625" w:rsidP="00E35495">
      <w:pPr>
        <w:pStyle w:val="Style1"/>
        <w:spacing w:line="240" w:lineRule="auto"/>
        <w:jc w:val="center"/>
        <w:rPr>
          <w:rFonts w:ascii="Times New Roman" w:hAnsi="Times New Roman"/>
          <w:sz w:val="28"/>
          <w:szCs w:val="28"/>
        </w:rPr>
      </w:pPr>
      <w:bookmarkStart w:id="0" w:name="_GoBack"/>
      <w:bookmarkEnd w:id="0"/>
      <w:r w:rsidRPr="00E35495">
        <w:rPr>
          <w:rFonts w:ascii="Times New Roman" w:hAnsi="Times New Roman"/>
          <w:sz w:val="28"/>
          <w:szCs w:val="28"/>
        </w:rPr>
        <w:t>Proje</w:t>
      </w:r>
      <w:r>
        <w:rPr>
          <w:rFonts w:ascii="Times New Roman" w:hAnsi="Times New Roman"/>
          <w:sz w:val="28"/>
          <w:szCs w:val="28"/>
        </w:rPr>
        <w:t>ct on I</w:t>
      </w:r>
      <w:r w:rsidRPr="00E35495">
        <w:rPr>
          <w:rFonts w:ascii="Times New Roman" w:hAnsi="Times New Roman"/>
          <w:sz w:val="28"/>
          <w:szCs w:val="28"/>
        </w:rPr>
        <w:t xml:space="preserve">mproving </w:t>
      </w:r>
    </w:p>
    <w:p w:rsidR="00452B08" w:rsidRPr="00E35495" w:rsidRDefault="00196625" w:rsidP="00E35495">
      <w:pPr>
        <w:pStyle w:val="Style1"/>
        <w:spacing w:line="240" w:lineRule="auto"/>
        <w:jc w:val="center"/>
        <w:rPr>
          <w:rFonts w:ascii="Times New Roman" w:hAnsi="Times New Roman"/>
          <w:sz w:val="28"/>
          <w:szCs w:val="28"/>
        </w:rPr>
      </w:pPr>
      <w:proofErr w:type="gramStart"/>
      <w:r>
        <w:rPr>
          <w:rFonts w:ascii="Times New Roman" w:hAnsi="Times New Roman"/>
          <w:sz w:val="28"/>
          <w:szCs w:val="28"/>
        </w:rPr>
        <w:t>t</w:t>
      </w:r>
      <w:r w:rsidRPr="00E35495">
        <w:rPr>
          <w:rFonts w:ascii="Times New Roman" w:hAnsi="Times New Roman"/>
          <w:sz w:val="28"/>
          <w:szCs w:val="28"/>
        </w:rPr>
        <w:t>he</w:t>
      </w:r>
      <w:proofErr w:type="gramEnd"/>
      <w:r w:rsidRPr="00E35495">
        <w:rPr>
          <w:rFonts w:ascii="Times New Roman" w:hAnsi="Times New Roman"/>
          <w:sz w:val="28"/>
          <w:szCs w:val="28"/>
        </w:rPr>
        <w:t xml:space="preserve"> </w:t>
      </w:r>
      <w:r>
        <w:rPr>
          <w:rFonts w:ascii="Times New Roman" w:hAnsi="Times New Roman"/>
          <w:sz w:val="28"/>
          <w:szCs w:val="28"/>
        </w:rPr>
        <w:t>Asset Recovery System i</w:t>
      </w:r>
      <w:r w:rsidRPr="00E35495">
        <w:rPr>
          <w:rFonts w:ascii="Times New Roman" w:hAnsi="Times New Roman"/>
          <w:sz w:val="28"/>
          <w:szCs w:val="28"/>
        </w:rPr>
        <w:t>n Bulgaria</w:t>
      </w:r>
    </w:p>
    <w:p w:rsidR="00452B08" w:rsidRPr="00E35495" w:rsidRDefault="00452B08" w:rsidP="00E35495">
      <w:pPr>
        <w:ind w:left="6480" w:right="278"/>
        <w:jc w:val="right"/>
        <w:rPr>
          <w:bCs/>
          <w:i/>
          <w:color w:val="808080"/>
          <w:sz w:val="24"/>
          <w:szCs w:val="24"/>
        </w:rPr>
      </w:pPr>
    </w:p>
    <w:p w:rsidR="00452B08" w:rsidRPr="00E35495" w:rsidRDefault="00452B08" w:rsidP="00E35495">
      <w:pPr>
        <w:ind w:left="6480" w:right="278"/>
        <w:jc w:val="right"/>
        <w:rPr>
          <w:bCs/>
          <w:i/>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624"/>
      </w:tblGrid>
      <w:tr w:rsidR="00452B08" w:rsidRPr="00501840" w:rsidTr="00317DD3">
        <w:tc>
          <w:tcPr>
            <w:tcW w:w="2448" w:type="dxa"/>
            <w:shd w:val="pct15" w:color="auto" w:fill="auto"/>
          </w:tcPr>
          <w:p w:rsidR="00452B08" w:rsidRPr="00501840" w:rsidRDefault="00452B08" w:rsidP="00E35495">
            <w:pPr>
              <w:rPr>
                <w:b/>
                <w:sz w:val="22"/>
                <w:szCs w:val="22"/>
              </w:rPr>
            </w:pPr>
            <w:r w:rsidRPr="00501840">
              <w:rPr>
                <w:b/>
                <w:sz w:val="22"/>
                <w:szCs w:val="22"/>
              </w:rPr>
              <w:t>Project Promoter</w:t>
            </w:r>
          </w:p>
        </w:tc>
        <w:tc>
          <w:tcPr>
            <w:tcW w:w="6624" w:type="dxa"/>
          </w:tcPr>
          <w:p w:rsidR="00452B08" w:rsidRPr="00501840" w:rsidRDefault="00452B08" w:rsidP="00E35495">
            <w:pPr>
              <w:tabs>
                <w:tab w:val="left" w:pos="6624"/>
              </w:tabs>
              <w:jc w:val="both"/>
              <w:rPr>
                <w:sz w:val="22"/>
                <w:szCs w:val="22"/>
              </w:rPr>
            </w:pPr>
            <w:r w:rsidRPr="00501840">
              <w:rPr>
                <w:sz w:val="22"/>
                <w:szCs w:val="22"/>
              </w:rPr>
              <w:t>The Commission for Illegal Assets Forfeiture (CIAF)</w:t>
            </w:r>
          </w:p>
          <w:p w:rsidR="00452B08" w:rsidRPr="00501840" w:rsidRDefault="00452B08" w:rsidP="00E35495">
            <w:pPr>
              <w:tabs>
                <w:tab w:val="left" w:pos="6624"/>
              </w:tabs>
              <w:jc w:val="both"/>
              <w:rPr>
                <w:sz w:val="22"/>
                <w:szCs w:val="22"/>
              </w:rPr>
            </w:pPr>
          </w:p>
        </w:tc>
      </w:tr>
      <w:tr w:rsidR="00452B08" w:rsidRPr="00501840" w:rsidTr="00317DD3">
        <w:tc>
          <w:tcPr>
            <w:tcW w:w="2448" w:type="dxa"/>
            <w:shd w:val="pct15" w:color="auto" w:fill="auto"/>
          </w:tcPr>
          <w:p w:rsidR="00452B08" w:rsidRPr="00501840" w:rsidRDefault="00452B08" w:rsidP="00E35495">
            <w:pPr>
              <w:rPr>
                <w:b/>
                <w:sz w:val="22"/>
                <w:szCs w:val="22"/>
              </w:rPr>
            </w:pPr>
            <w:r w:rsidRPr="00501840">
              <w:rPr>
                <w:b/>
                <w:sz w:val="22"/>
                <w:szCs w:val="22"/>
              </w:rPr>
              <w:t xml:space="preserve">Project Partner: </w:t>
            </w:r>
          </w:p>
        </w:tc>
        <w:tc>
          <w:tcPr>
            <w:tcW w:w="6624" w:type="dxa"/>
          </w:tcPr>
          <w:p w:rsidR="00452B08" w:rsidRPr="00501840" w:rsidRDefault="00452B08" w:rsidP="00E35495">
            <w:pPr>
              <w:jc w:val="both"/>
              <w:rPr>
                <w:sz w:val="22"/>
                <w:szCs w:val="22"/>
              </w:rPr>
            </w:pPr>
            <w:r w:rsidRPr="00501840">
              <w:rPr>
                <w:sz w:val="22"/>
                <w:szCs w:val="22"/>
              </w:rPr>
              <w:t>Council of Europe</w:t>
            </w:r>
          </w:p>
          <w:p w:rsidR="00452B08" w:rsidRPr="00501840" w:rsidRDefault="00452B08" w:rsidP="00E35495">
            <w:pPr>
              <w:jc w:val="both"/>
              <w:rPr>
                <w:sz w:val="22"/>
                <w:szCs w:val="22"/>
              </w:rPr>
            </w:pPr>
          </w:p>
        </w:tc>
      </w:tr>
      <w:tr w:rsidR="00452B08" w:rsidRPr="00501840" w:rsidTr="00317DD3">
        <w:tc>
          <w:tcPr>
            <w:tcW w:w="2448" w:type="dxa"/>
            <w:shd w:val="pct15" w:color="auto" w:fill="auto"/>
          </w:tcPr>
          <w:p w:rsidR="00452B08" w:rsidRPr="00501840" w:rsidRDefault="00452B08" w:rsidP="00E35495">
            <w:pPr>
              <w:rPr>
                <w:b/>
                <w:sz w:val="22"/>
                <w:szCs w:val="22"/>
              </w:rPr>
            </w:pPr>
            <w:r w:rsidRPr="00501840">
              <w:rPr>
                <w:b/>
                <w:sz w:val="22"/>
                <w:szCs w:val="22"/>
              </w:rPr>
              <w:t>Financial Mechanism</w:t>
            </w:r>
          </w:p>
        </w:tc>
        <w:tc>
          <w:tcPr>
            <w:tcW w:w="6624" w:type="dxa"/>
          </w:tcPr>
          <w:p w:rsidR="00452B08" w:rsidRPr="00501840" w:rsidRDefault="00452B08" w:rsidP="00E35495">
            <w:pPr>
              <w:jc w:val="both"/>
              <w:rPr>
                <w:sz w:val="22"/>
                <w:szCs w:val="22"/>
              </w:rPr>
            </w:pPr>
            <w:r w:rsidRPr="00501840">
              <w:rPr>
                <w:sz w:val="22"/>
                <w:szCs w:val="22"/>
              </w:rPr>
              <w:t>Norwegian Financial Mechanism 2009-2014</w:t>
            </w:r>
            <w:r w:rsidR="00E35495" w:rsidRPr="00501840">
              <w:rPr>
                <w:sz w:val="22"/>
                <w:szCs w:val="22"/>
              </w:rPr>
              <w:t xml:space="preserve"> (8</w:t>
            </w:r>
            <w:r w:rsidR="00CE7E0D" w:rsidRPr="00501840">
              <w:rPr>
                <w:sz w:val="22"/>
                <w:szCs w:val="22"/>
                <w:lang w:val="bg-BG"/>
              </w:rPr>
              <w:t>5</w:t>
            </w:r>
            <w:r w:rsidR="00E35495" w:rsidRPr="00501840">
              <w:rPr>
                <w:sz w:val="22"/>
                <w:szCs w:val="22"/>
              </w:rPr>
              <w:t>%)</w:t>
            </w:r>
          </w:p>
          <w:p w:rsidR="00E35495" w:rsidRPr="00501840" w:rsidRDefault="00E35495" w:rsidP="00E35495">
            <w:pPr>
              <w:jc w:val="both"/>
              <w:rPr>
                <w:sz w:val="22"/>
                <w:szCs w:val="22"/>
              </w:rPr>
            </w:pPr>
            <w:r w:rsidRPr="00501840">
              <w:rPr>
                <w:sz w:val="22"/>
                <w:szCs w:val="22"/>
              </w:rPr>
              <w:t>Bulgarian authorities (1</w:t>
            </w:r>
            <w:r w:rsidR="00CE7E0D" w:rsidRPr="00501840">
              <w:rPr>
                <w:sz w:val="22"/>
                <w:szCs w:val="22"/>
                <w:lang w:val="bg-BG"/>
              </w:rPr>
              <w:t>5</w:t>
            </w:r>
            <w:r w:rsidRPr="00501840">
              <w:rPr>
                <w:sz w:val="22"/>
                <w:szCs w:val="22"/>
              </w:rPr>
              <w:t>%)</w:t>
            </w:r>
          </w:p>
          <w:p w:rsidR="00452B08" w:rsidRPr="00501840" w:rsidRDefault="00452B08" w:rsidP="00E35495">
            <w:pPr>
              <w:jc w:val="both"/>
              <w:rPr>
                <w:sz w:val="22"/>
                <w:szCs w:val="22"/>
              </w:rPr>
            </w:pPr>
          </w:p>
        </w:tc>
      </w:tr>
      <w:tr w:rsidR="00452B08" w:rsidRPr="00501840" w:rsidTr="00317DD3">
        <w:tc>
          <w:tcPr>
            <w:tcW w:w="2448" w:type="dxa"/>
            <w:shd w:val="pct15" w:color="auto" w:fill="auto"/>
          </w:tcPr>
          <w:p w:rsidR="00452B08" w:rsidRPr="00501840" w:rsidRDefault="00452B08" w:rsidP="00E35495">
            <w:pPr>
              <w:rPr>
                <w:b/>
                <w:sz w:val="22"/>
                <w:szCs w:val="22"/>
              </w:rPr>
            </w:pPr>
            <w:r w:rsidRPr="00501840">
              <w:rPr>
                <w:b/>
                <w:sz w:val="22"/>
                <w:szCs w:val="22"/>
              </w:rPr>
              <w:t>Budget</w:t>
            </w:r>
          </w:p>
        </w:tc>
        <w:tc>
          <w:tcPr>
            <w:tcW w:w="6624" w:type="dxa"/>
          </w:tcPr>
          <w:p w:rsidR="00452B08" w:rsidRPr="00501840" w:rsidRDefault="00452B08" w:rsidP="00E35495">
            <w:pPr>
              <w:jc w:val="both"/>
              <w:rPr>
                <w:sz w:val="22"/>
                <w:szCs w:val="22"/>
              </w:rPr>
            </w:pPr>
            <w:r w:rsidRPr="00501840">
              <w:rPr>
                <w:sz w:val="22"/>
                <w:szCs w:val="22"/>
              </w:rPr>
              <w:t>1.000.000 EURO</w:t>
            </w:r>
          </w:p>
          <w:p w:rsidR="00452B08" w:rsidRPr="00501840" w:rsidRDefault="00452B08" w:rsidP="00E35495">
            <w:pPr>
              <w:jc w:val="both"/>
              <w:rPr>
                <w:sz w:val="22"/>
                <w:szCs w:val="22"/>
              </w:rPr>
            </w:pPr>
          </w:p>
        </w:tc>
      </w:tr>
      <w:tr w:rsidR="00452B08" w:rsidRPr="00501840" w:rsidTr="00317DD3">
        <w:trPr>
          <w:trHeight w:val="92"/>
        </w:trPr>
        <w:tc>
          <w:tcPr>
            <w:tcW w:w="2448" w:type="dxa"/>
            <w:shd w:val="pct15" w:color="auto" w:fill="auto"/>
          </w:tcPr>
          <w:p w:rsidR="00452B08" w:rsidRPr="00501840" w:rsidRDefault="00452B08" w:rsidP="00E35495">
            <w:pPr>
              <w:rPr>
                <w:b/>
                <w:sz w:val="22"/>
                <w:szCs w:val="22"/>
              </w:rPr>
            </w:pPr>
            <w:r w:rsidRPr="00501840">
              <w:rPr>
                <w:b/>
                <w:sz w:val="22"/>
                <w:szCs w:val="22"/>
              </w:rPr>
              <w:t>Duration</w:t>
            </w:r>
          </w:p>
        </w:tc>
        <w:tc>
          <w:tcPr>
            <w:tcW w:w="6624" w:type="dxa"/>
          </w:tcPr>
          <w:p w:rsidR="00452B08" w:rsidRPr="00501840" w:rsidRDefault="00452B08" w:rsidP="00B9417B">
            <w:pPr>
              <w:pStyle w:val="ListParagraph"/>
              <w:numPr>
                <w:ilvl w:val="0"/>
                <w:numId w:val="3"/>
              </w:numPr>
              <w:ind w:left="421" w:hanging="283"/>
              <w:rPr>
                <w:sz w:val="22"/>
                <w:szCs w:val="22"/>
              </w:rPr>
            </w:pPr>
            <w:r w:rsidRPr="00501840">
              <w:rPr>
                <w:sz w:val="22"/>
                <w:szCs w:val="22"/>
              </w:rPr>
              <w:t>months</w:t>
            </w:r>
          </w:p>
          <w:p w:rsidR="00452B08" w:rsidRPr="00501840" w:rsidRDefault="00452B08" w:rsidP="00E35495">
            <w:pPr>
              <w:rPr>
                <w:sz w:val="22"/>
                <w:szCs w:val="22"/>
              </w:rPr>
            </w:pPr>
          </w:p>
        </w:tc>
      </w:tr>
    </w:tbl>
    <w:p w:rsidR="00452B08" w:rsidRPr="00501840" w:rsidRDefault="00452B08" w:rsidP="00E35495">
      <w:pPr>
        <w:pStyle w:val="Style2"/>
        <w:rPr>
          <w:rFonts w:ascii="Times New Roman" w:hAnsi="Times New Roman"/>
          <w:sz w:val="22"/>
          <w:szCs w:val="22"/>
        </w:rPr>
      </w:pPr>
    </w:p>
    <w:p w:rsidR="00E35495" w:rsidRPr="00501840" w:rsidRDefault="00E35495" w:rsidP="00025B46">
      <w:pPr>
        <w:rPr>
          <w:b/>
          <w:sz w:val="22"/>
          <w:szCs w:val="22"/>
          <w:lang w:val="bg-BG"/>
        </w:rPr>
      </w:pPr>
    </w:p>
    <w:p w:rsidR="00317DD3" w:rsidRPr="00501840" w:rsidRDefault="00317DD3" w:rsidP="00317DD3">
      <w:pPr>
        <w:jc w:val="both"/>
        <w:rPr>
          <w:bCs/>
          <w:kern w:val="1"/>
          <w:sz w:val="22"/>
          <w:szCs w:val="22"/>
          <w:lang w:eastAsia="zh-CN"/>
        </w:rPr>
      </w:pPr>
      <w:r w:rsidRPr="00501840">
        <w:rPr>
          <w:bCs/>
          <w:kern w:val="1"/>
          <w:sz w:val="22"/>
          <w:szCs w:val="22"/>
          <w:lang w:eastAsia="zh-CN"/>
        </w:rPr>
        <w:t xml:space="preserve">Economic and organised crime, corruption and money laundering pose serious threats to the countries in South East Europe and beyond the region. They undermine public trust in the rule of law and the institutions of governance and ultimately weaken civil society, the protection of human rights and the prospect for economic development. </w:t>
      </w:r>
      <w:bookmarkStart w:id="1" w:name="__RefHeading__802_1574604217"/>
      <w:bookmarkEnd w:id="1"/>
    </w:p>
    <w:p w:rsidR="00317DD3" w:rsidRPr="00501840" w:rsidRDefault="00317DD3" w:rsidP="00317DD3">
      <w:pPr>
        <w:jc w:val="both"/>
        <w:rPr>
          <w:bCs/>
          <w:kern w:val="1"/>
          <w:sz w:val="22"/>
          <w:szCs w:val="22"/>
          <w:lang w:eastAsia="zh-CN"/>
        </w:rPr>
      </w:pPr>
    </w:p>
    <w:p w:rsidR="00317DD3" w:rsidRPr="00501840" w:rsidRDefault="00317DD3" w:rsidP="00317DD3">
      <w:pPr>
        <w:jc w:val="both"/>
        <w:rPr>
          <w:bCs/>
          <w:kern w:val="1"/>
          <w:sz w:val="22"/>
          <w:szCs w:val="22"/>
          <w:lang w:eastAsia="zh-CN"/>
        </w:rPr>
      </w:pPr>
      <w:r w:rsidRPr="00501840">
        <w:rPr>
          <w:bCs/>
          <w:kern w:val="1"/>
          <w:sz w:val="22"/>
          <w:szCs w:val="22"/>
          <w:lang w:eastAsia="zh-CN"/>
        </w:rPr>
        <w:t xml:space="preserve">Strengthening the current systems to trace, seize and forfeit proceeds of crime, is a matter of urgency and one of the crucial steps towards the implementation of Bulgaria's priority and that is, preventing and combating organized crime and corruption, reinstating justice and compensating the victims of crime. </w:t>
      </w:r>
    </w:p>
    <w:p w:rsidR="00317DD3" w:rsidRPr="00501840" w:rsidRDefault="00317DD3" w:rsidP="00317DD3">
      <w:pPr>
        <w:jc w:val="both"/>
        <w:rPr>
          <w:bCs/>
          <w:kern w:val="1"/>
          <w:sz w:val="22"/>
          <w:szCs w:val="22"/>
          <w:lang w:eastAsia="zh-CN"/>
        </w:rPr>
      </w:pPr>
    </w:p>
    <w:p w:rsidR="00E35495" w:rsidRPr="00501840" w:rsidRDefault="00317DD3" w:rsidP="00317DD3">
      <w:pPr>
        <w:jc w:val="both"/>
        <w:rPr>
          <w:bCs/>
          <w:kern w:val="1"/>
          <w:sz w:val="22"/>
          <w:szCs w:val="22"/>
          <w:lang w:eastAsia="zh-CN"/>
        </w:rPr>
      </w:pPr>
      <w:r w:rsidRPr="00501840">
        <w:rPr>
          <w:bCs/>
          <w:kern w:val="1"/>
          <w:sz w:val="22"/>
          <w:szCs w:val="22"/>
          <w:lang w:eastAsia="zh-CN"/>
        </w:rPr>
        <w:t xml:space="preserve">In Bulgaria the Asset Recovery System has a relatively short history in terms of operational asset recovery.  The original “Law of Divestment in Favour of the State of Property Acquired from Criminal Activity” was adopted in 2005 while the Commission for Establishing of Property Acquired from Criminal Activity (CEPACA) was defined as the competent state authority for asset recovery. A second new “Law on Forfeiture in favour of the State of Illegally Acquired Property” followed in early May 2012, taking effect in November 2012, which </w:t>
      </w:r>
      <w:r w:rsidRPr="00501840">
        <w:rPr>
          <w:bCs/>
          <w:kern w:val="1"/>
          <w:sz w:val="22"/>
          <w:szCs w:val="22"/>
          <w:lang w:val="en-US" w:eastAsia="zh-CN"/>
        </w:rPr>
        <w:t>abolished</w:t>
      </w:r>
      <w:r w:rsidRPr="00501840">
        <w:rPr>
          <w:bCs/>
          <w:kern w:val="1"/>
          <w:sz w:val="22"/>
          <w:szCs w:val="22"/>
          <w:lang w:eastAsia="zh-CN"/>
        </w:rPr>
        <w:t xml:space="preserve"> CEPACA and created the CIAF (Commission for Illegal Assets Forfeiture) as a full-fledged successor assuming all rights and liabilities of CEPACA.</w:t>
      </w:r>
    </w:p>
    <w:p w:rsidR="007422B6" w:rsidRPr="00501840" w:rsidRDefault="007422B6" w:rsidP="00317DD3">
      <w:pPr>
        <w:jc w:val="both"/>
        <w:rPr>
          <w:bCs/>
          <w:kern w:val="1"/>
          <w:sz w:val="22"/>
          <w:szCs w:val="22"/>
          <w:lang w:eastAsia="zh-CN"/>
        </w:rPr>
      </w:pPr>
    </w:p>
    <w:p w:rsidR="007422B6" w:rsidRPr="00501840" w:rsidRDefault="007422B6" w:rsidP="00317DD3">
      <w:pPr>
        <w:jc w:val="both"/>
        <w:rPr>
          <w:bCs/>
          <w:i/>
          <w:kern w:val="2"/>
          <w:sz w:val="22"/>
          <w:szCs w:val="22"/>
          <w:lang w:eastAsia="zh-CN"/>
        </w:rPr>
      </w:pPr>
      <w:r w:rsidRPr="00501840">
        <w:rPr>
          <w:bCs/>
          <w:kern w:val="1"/>
          <w:sz w:val="22"/>
          <w:szCs w:val="22"/>
          <w:lang w:eastAsia="zh-CN"/>
        </w:rPr>
        <w:t xml:space="preserve">Various international organizations have focused in recent years on the state of the asset recovery system in Bulgaria. Several of the </w:t>
      </w:r>
      <w:r w:rsidR="00CE7471" w:rsidRPr="00501840">
        <w:rPr>
          <w:bCs/>
          <w:kern w:val="1"/>
          <w:sz w:val="22"/>
          <w:szCs w:val="22"/>
          <w:lang w:eastAsia="zh-CN"/>
        </w:rPr>
        <w:t xml:space="preserve">recommendations given to Bulgaria by </w:t>
      </w:r>
      <w:r w:rsidR="005F46B5" w:rsidRPr="00501840">
        <w:rPr>
          <w:bCs/>
          <w:kern w:val="1"/>
          <w:sz w:val="22"/>
          <w:szCs w:val="22"/>
          <w:lang w:eastAsia="zh-CN"/>
        </w:rPr>
        <w:t>the Venice Commission of the Council of Europe (2010), the UN (2011)</w:t>
      </w:r>
      <w:r w:rsidR="00756D92" w:rsidRPr="00501840">
        <w:rPr>
          <w:bCs/>
          <w:kern w:val="1"/>
          <w:sz w:val="22"/>
          <w:szCs w:val="22"/>
          <w:lang w:eastAsia="zh-CN"/>
        </w:rPr>
        <w:t xml:space="preserve"> </w:t>
      </w:r>
      <w:r w:rsidR="005F46B5" w:rsidRPr="00501840">
        <w:rPr>
          <w:bCs/>
          <w:kern w:val="1"/>
          <w:sz w:val="22"/>
          <w:szCs w:val="22"/>
          <w:lang w:eastAsia="zh-CN"/>
        </w:rPr>
        <w:t xml:space="preserve">and the </w:t>
      </w:r>
      <w:r w:rsidRPr="00501840">
        <w:rPr>
          <w:bCs/>
          <w:kern w:val="1"/>
          <w:sz w:val="22"/>
          <w:szCs w:val="22"/>
          <w:lang w:eastAsia="zh-CN"/>
        </w:rPr>
        <w:t>EU</w:t>
      </w:r>
      <w:r w:rsidR="00CE7471" w:rsidRPr="00501840">
        <w:rPr>
          <w:bCs/>
          <w:kern w:val="1"/>
          <w:sz w:val="22"/>
          <w:szCs w:val="22"/>
          <w:lang w:eastAsia="zh-CN"/>
        </w:rPr>
        <w:t xml:space="preserve"> (2011) aimed at strengthening the legislative foundations of the asset recovery system have been implemented</w:t>
      </w:r>
      <w:r w:rsidR="005F46B5" w:rsidRPr="00501840">
        <w:rPr>
          <w:bCs/>
          <w:kern w:val="1"/>
          <w:sz w:val="22"/>
          <w:szCs w:val="22"/>
          <w:lang w:eastAsia="zh-CN"/>
        </w:rPr>
        <w:t xml:space="preserve"> with the adoption of the new Law</w:t>
      </w:r>
      <w:r w:rsidR="00CE7471" w:rsidRPr="00501840">
        <w:rPr>
          <w:bCs/>
          <w:kern w:val="1"/>
          <w:sz w:val="22"/>
          <w:szCs w:val="22"/>
          <w:lang w:eastAsia="zh-CN"/>
        </w:rPr>
        <w:t xml:space="preserve">. At the same time </w:t>
      </w:r>
      <w:r w:rsidR="005F46B5" w:rsidRPr="00501840">
        <w:rPr>
          <w:bCs/>
          <w:kern w:val="1"/>
          <w:sz w:val="22"/>
          <w:szCs w:val="22"/>
          <w:lang w:eastAsia="zh-CN"/>
        </w:rPr>
        <w:t xml:space="preserve">a more recent review by the Council of Europe MONEYVAL Committee finalized in September 2013 </w:t>
      </w:r>
      <w:r w:rsidR="00945794" w:rsidRPr="00501840">
        <w:rPr>
          <w:bCs/>
          <w:kern w:val="1"/>
          <w:sz w:val="22"/>
          <w:szCs w:val="22"/>
          <w:lang w:eastAsia="zh-CN"/>
        </w:rPr>
        <w:t>has identified a number of issues, particularly in terms of effective implementation of existing norms. Specifically it was recommended that “e</w:t>
      </w:r>
      <w:r w:rsidR="00945794" w:rsidRPr="00501840">
        <w:rPr>
          <w:bCs/>
          <w:i/>
          <w:kern w:val="2"/>
          <w:sz w:val="22"/>
          <w:szCs w:val="22"/>
          <w:lang w:eastAsia="zh-CN"/>
        </w:rPr>
        <w:t xml:space="preserve">fforts be made by the authorities to increase the number of provisional measures applied and the volume of forfeited assets and to make more use of the powers currently vested to them by the existing legislation which offers a relatively broad authority to seize/sequester and to confiscate”. </w:t>
      </w:r>
    </w:p>
    <w:p w:rsidR="000F5947" w:rsidRPr="00501840" w:rsidRDefault="000F5947" w:rsidP="00317DD3">
      <w:pPr>
        <w:jc w:val="both"/>
        <w:rPr>
          <w:bCs/>
          <w:i/>
          <w:kern w:val="2"/>
          <w:sz w:val="22"/>
          <w:szCs w:val="22"/>
          <w:lang w:eastAsia="zh-CN"/>
        </w:rPr>
      </w:pPr>
    </w:p>
    <w:p w:rsidR="000F5947" w:rsidRPr="00501840" w:rsidRDefault="000F5947" w:rsidP="000F5947">
      <w:pPr>
        <w:jc w:val="both"/>
        <w:rPr>
          <w:bCs/>
          <w:kern w:val="2"/>
          <w:sz w:val="22"/>
          <w:szCs w:val="22"/>
          <w:lang w:eastAsia="zh-CN"/>
        </w:rPr>
      </w:pPr>
      <w:r w:rsidRPr="00501840">
        <w:rPr>
          <w:bCs/>
          <w:kern w:val="2"/>
          <w:sz w:val="22"/>
          <w:szCs w:val="22"/>
          <w:lang w:eastAsia="zh-CN"/>
        </w:rPr>
        <w:t xml:space="preserve">Given the abovementioned context the Project on improving the Asset Recovery System in Bulgaria is aimed at enhancing the implementation and effectiveness of existing asset recovery instruments and government authorities. </w:t>
      </w:r>
      <w:r w:rsidR="00C6763A" w:rsidRPr="00501840">
        <w:rPr>
          <w:bCs/>
          <w:kern w:val="2"/>
          <w:sz w:val="22"/>
          <w:szCs w:val="22"/>
          <w:lang w:eastAsia="zh-CN"/>
        </w:rPr>
        <w:t>R</w:t>
      </w:r>
      <w:r w:rsidRPr="00501840">
        <w:rPr>
          <w:bCs/>
          <w:kern w:val="2"/>
          <w:sz w:val="22"/>
          <w:szCs w:val="22"/>
          <w:lang w:eastAsia="zh-CN"/>
        </w:rPr>
        <w:t>ely</w:t>
      </w:r>
      <w:r w:rsidR="00C6763A" w:rsidRPr="00501840">
        <w:rPr>
          <w:bCs/>
          <w:kern w:val="2"/>
          <w:sz w:val="22"/>
          <w:szCs w:val="22"/>
          <w:lang w:eastAsia="zh-CN"/>
        </w:rPr>
        <w:t>ing</w:t>
      </w:r>
      <w:r w:rsidRPr="00501840">
        <w:rPr>
          <w:bCs/>
          <w:kern w:val="2"/>
          <w:sz w:val="22"/>
          <w:szCs w:val="22"/>
          <w:lang w:eastAsia="zh-CN"/>
        </w:rPr>
        <w:t xml:space="preserve"> on key European and international standards</w:t>
      </w:r>
      <w:r w:rsidR="00C6763A" w:rsidRPr="00501840">
        <w:rPr>
          <w:bCs/>
          <w:kern w:val="2"/>
          <w:sz w:val="22"/>
          <w:szCs w:val="22"/>
          <w:lang w:eastAsia="zh-CN"/>
        </w:rPr>
        <w:t xml:space="preserve"> the Project will deliver</w:t>
      </w:r>
      <w:r w:rsidRPr="00501840">
        <w:rPr>
          <w:bCs/>
          <w:kern w:val="2"/>
          <w:sz w:val="22"/>
          <w:szCs w:val="22"/>
          <w:lang w:eastAsia="zh-CN"/>
        </w:rPr>
        <w:t xml:space="preserve"> </w:t>
      </w:r>
      <w:r w:rsidR="00C6763A" w:rsidRPr="00501840">
        <w:rPr>
          <w:bCs/>
          <w:kern w:val="2"/>
          <w:sz w:val="22"/>
          <w:szCs w:val="22"/>
          <w:lang w:eastAsia="zh-CN"/>
        </w:rPr>
        <w:t>good</w:t>
      </w:r>
      <w:r w:rsidRPr="00501840">
        <w:rPr>
          <w:bCs/>
          <w:kern w:val="2"/>
          <w:sz w:val="22"/>
          <w:szCs w:val="22"/>
          <w:lang w:eastAsia="zh-CN"/>
        </w:rPr>
        <w:t xml:space="preserve"> practices in asset recovery</w:t>
      </w:r>
      <w:r w:rsidR="00C6763A" w:rsidRPr="00501840">
        <w:rPr>
          <w:bCs/>
          <w:kern w:val="2"/>
          <w:sz w:val="22"/>
          <w:szCs w:val="22"/>
          <w:lang w:eastAsia="zh-CN"/>
        </w:rPr>
        <w:t xml:space="preserve"> to enhance the system in Bulgaria through sound policy analysis, recommendations, capacity building and training programmes for the full range of agencies involved in asset recovery, including CIAF, law enforcement, prosecution, judiciary and others. </w:t>
      </w:r>
    </w:p>
    <w:p w:rsidR="00C6763A" w:rsidRPr="00501840" w:rsidRDefault="00C6763A" w:rsidP="000F5947">
      <w:pPr>
        <w:jc w:val="both"/>
        <w:rPr>
          <w:bCs/>
          <w:kern w:val="2"/>
          <w:sz w:val="22"/>
          <w:szCs w:val="22"/>
          <w:lang w:eastAsia="zh-CN"/>
        </w:rPr>
      </w:pPr>
    </w:p>
    <w:p w:rsidR="00C6763A" w:rsidRPr="00501840" w:rsidRDefault="008D0085" w:rsidP="000F5947">
      <w:pPr>
        <w:jc w:val="both"/>
        <w:rPr>
          <w:b/>
          <w:bCs/>
          <w:kern w:val="2"/>
          <w:sz w:val="22"/>
          <w:szCs w:val="22"/>
          <w:lang w:eastAsia="zh-CN"/>
        </w:rPr>
      </w:pPr>
      <w:r w:rsidRPr="00501840">
        <w:rPr>
          <w:b/>
          <w:bCs/>
          <w:kern w:val="2"/>
          <w:sz w:val="22"/>
          <w:szCs w:val="22"/>
          <w:lang w:eastAsia="zh-CN"/>
        </w:rPr>
        <w:lastRenderedPageBreak/>
        <w:t>OVERALL OBJECTIVE, COMPONENTS AND EXPECTED OUTPUTS</w:t>
      </w:r>
    </w:p>
    <w:p w:rsidR="00C6763A" w:rsidRPr="00501840" w:rsidRDefault="00C6763A" w:rsidP="000F5947">
      <w:pPr>
        <w:jc w:val="both"/>
        <w:rPr>
          <w:bCs/>
          <w:kern w:val="2"/>
          <w:sz w:val="22"/>
          <w:szCs w:val="22"/>
          <w:lang w:eastAsia="zh-CN"/>
        </w:rPr>
      </w:pPr>
    </w:p>
    <w:tbl>
      <w:tblPr>
        <w:tblW w:w="9540" w:type="dxa"/>
        <w:tblInd w:w="108" w:type="dxa"/>
        <w:tblLook w:val="04A0" w:firstRow="1" w:lastRow="0" w:firstColumn="1" w:lastColumn="0" w:noHBand="0" w:noVBand="1"/>
      </w:tblPr>
      <w:tblGrid>
        <w:gridCol w:w="1980"/>
        <w:gridCol w:w="7560"/>
      </w:tblGrid>
      <w:tr w:rsidR="00C6763A" w:rsidRPr="00501840" w:rsidTr="00501840">
        <w:tc>
          <w:tcPr>
            <w:tcW w:w="1980" w:type="dxa"/>
          </w:tcPr>
          <w:p w:rsidR="00C6763A" w:rsidRPr="00501840" w:rsidRDefault="00C6763A" w:rsidP="00C6763A">
            <w:pPr>
              <w:spacing w:line="260" w:lineRule="atLeast"/>
              <w:jc w:val="both"/>
              <w:rPr>
                <w:b/>
                <w:color w:val="000000"/>
                <w:sz w:val="22"/>
                <w:szCs w:val="22"/>
                <w:lang w:eastAsia="en-GB"/>
              </w:rPr>
            </w:pPr>
            <w:r w:rsidRPr="00501840">
              <w:rPr>
                <w:b/>
                <w:color w:val="000000"/>
                <w:sz w:val="22"/>
                <w:szCs w:val="22"/>
                <w:lang w:eastAsia="en-GB"/>
              </w:rPr>
              <w:t>Project Purpose</w:t>
            </w:r>
          </w:p>
          <w:p w:rsidR="00C6763A" w:rsidRPr="00501840" w:rsidRDefault="00C6763A" w:rsidP="00C6763A">
            <w:pPr>
              <w:spacing w:line="260" w:lineRule="atLeast"/>
              <w:jc w:val="both"/>
              <w:rPr>
                <w:b/>
                <w:color w:val="000000"/>
                <w:sz w:val="22"/>
                <w:szCs w:val="22"/>
                <w:lang w:eastAsia="en-GB"/>
              </w:rPr>
            </w:pPr>
          </w:p>
          <w:p w:rsidR="00C6763A" w:rsidRPr="00501840" w:rsidRDefault="00C6763A" w:rsidP="00C6763A">
            <w:pPr>
              <w:spacing w:line="260" w:lineRule="atLeast"/>
              <w:jc w:val="both"/>
              <w:rPr>
                <w:b/>
                <w:color w:val="000000"/>
                <w:sz w:val="22"/>
                <w:szCs w:val="22"/>
                <w:lang w:eastAsia="en-GB"/>
              </w:rPr>
            </w:pPr>
          </w:p>
        </w:tc>
        <w:tc>
          <w:tcPr>
            <w:tcW w:w="7560" w:type="dxa"/>
          </w:tcPr>
          <w:p w:rsidR="00C6763A" w:rsidRPr="00501840" w:rsidRDefault="00C6763A" w:rsidP="00C6763A">
            <w:pPr>
              <w:jc w:val="both"/>
              <w:rPr>
                <w:color w:val="000000"/>
                <w:sz w:val="22"/>
                <w:szCs w:val="22"/>
              </w:rPr>
            </w:pPr>
            <w:bookmarkStart w:id="2" w:name="OLE_LINK5"/>
            <w:bookmarkStart w:id="3" w:name="OLE_LINK6"/>
            <w:r w:rsidRPr="00501840">
              <w:rPr>
                <w:bCs/>
                <w:kern w:val="1"/>
                <w:sz w:val="22"/>
                <w:szCs w:val="22"/>
                <w:lang w:eastAsia="zh-CN"/>
              </w:rPr>
              <w:t>Increase citizens security through improvement of the efficiency of cooperation with law enforcement and other authorities in Schengen and other countries in fighting economic and organised crime, and effectively recovering assets</w:t>
            </w:r>
            <w:bookmarkEnd w:id="2"/>
            <w:bookmarkEnd w:id="3"/>
          </w:p>
        </w:tc>
      </w:tr>
      <w:tr w:rsidR="00C6763A" w:rsidRPr="00501840" w:rsidTr="00501840">
        <w:tc>
          <w:tcPr>
            <w:tcW w:w="1980" w:type="dxa"/>
          </w:tcPr>
          <w:p w:rsidR="00C6763A" w:rsidRPr="00501840" w:rsidRDefault="00C6763A" w:rsidP="00C6763A">
            <w:pPr>
              <w:spacing w:line="260" w:lineRule="atLeast"/>
              <w:jc w:val="both"/>
              <w:rPr>
                <w:b/>
                <w:color w:val="000000"/>
                <w:sz w:val="22"/>
                <w:szCs w:val="22"/>
                <w:lang w:eastAsia="en-GB"/>
              </w:rPr>
            </w:pPr>
            <w:r w:rsidRPr="00501840">
              <w:rPr>
                <w:b/>
                <w:color w:val="000000"/>
                <w:sz w:val="22"/>
                <w:szCs w:val="22"/>
                <w:lang w:eastAsia="en-GB"/>
              </w:rPr>
              <w:t xml:space="preserve">Objective </w:t>
            </w:r>
          </w:p>
          <w:p w:rsidR="00C6763A" w:rsidRPr="00501840" w:rsidRDefault="00C6763A" w:rsidP="00C6763A">
            <w:pPr>
              <w:spacing w:line="260" w:lineRule="atLeast"/>
              <w:jc w:val="both"/>
              <w:rPr>
                <w:b/>
                <w:color w:val="000000"/>
                <w:sz w:val="22"/>
                <w:szCs w:val="22"/>
                <w:lang w:eastAsia="en-GB"/>
              </w:rPr>
            </w:pPr>
          </w:p>
        </w:tc>
        <w:tc>
          <w:tcPr>
            <w:tcW w:w="7560" w:type="dxa"/>
          </w:tcPr>
          <w:p w:rsidR="00C6763A" w:rsidRPr="00501840" w:rsidRDefault="00C6763A" w:rsidP="00C6763A">
            <w:pPr>
              <w:jc w:val="both"/>
              <w:rPr>
                <w:color w:val="000000"/>
                <w:sz w:val="22"/>
                <w:szCs w:val="22"/>
              </w:rPr>
            </w:pPr>
            <w:r w:rsidRPr="00501840">
              <w:rPr>
                <w:bCs/>
                <w:kern w:val="1"/>
                <w:sz w:val="22"/>
                <w:szCs w:val="22"/>
                <w:lang w:eastAsia="zh-CN"/>
              </w:rPr>
              <w:t>Increase the effectiveness and efficiency of the Asset Recovery System in Bulgaria</w:t>
            </w:r>
          </w:p>
        </w:tc>
      </w:tr>
      <w:tr w:rsidR="00C6763A" w:rsidRPr="00501840" w:rsidTr="00501840">
        <w:tc>
          <w:tcPr>
            <w:tcW w:w="1980" w:type="dxa"/>
            <w:shd w:val="clear" w:color="auto" w:fill="auto"/>
          </w:tcPr>
          <w:p w:rsidR="00C6763A" w:rsidRPr="00501840" w:rsidRDefault="00C6763A" w:rsidP="00C6763A">
            <w:pPr>
              <w:spacing w:line="260" w:lineRule="atLeast"/>
              <w:jc w:val="both"/>
              <w:rPr>
                <w:color w:val="000000"/>
                <w:sz w:val="22"/>
                <w:szCs w:val="22"/>
                <w:lang w:eastAsia="en-GB"/>
              </w:rPr>
            </w:pPr>
            <w:r w:rsidRPr="00501840">
              <w:rPr>
                <w:bCs/>
                <w:kern w:val="1"/>
                <w:sz w:val="22"/>
                <w:szCs w:val="22"/>
                <w:lang w:eastAsia="zh-CN"/>
              </w:rPr>
              <w:t>Outcome  1</w:t>
            </w:r>
          </w:p>
        </w:tc>
        <w:tc>
          <w:tcPr>
            <w:tcW w:w="7560" w:type="dxa"/>
            <w:shd w:val="clear" w:color="auto" w:fill="auto"/>
          </w:tcPr>
          <w:p w:rsidR="00C6763A" w:rsidRPr="00501840" w:rsidRDefault="00C6763A" w:rsidP="00C6763A">
            <w:pPr>
              <w:spacing w:line="260" w:lineRule="atLeast"/>
              <w:jc w:val="both"/>
              <w:rPr>
                <w:color w:val="000000"/>
                <w:sz w:val="22"/>
                <w:szCs w:val="22"/>
                <w:lang w:eastAsia="en-GB"/>
              </w:rPr>
            </w:pPr>
            <w:bookmarkStart w:id="4" w:name="OLE_LINK9"/>
            <w:bookmarkStart w:id="5" w:name="OLE_LINK10"/>
            <w:r w:rsidRPr="00501840">
              <w:rPr>
                <w:bCs/>
                <w:kern w:val="1"/>
                <w:sz w:val="22"/>
                <w:szCs w:val="22"/>
                <w:lang w:eastAsia="zh-CN"/>
              </w:rPr>
              <w:t xml:space="preserve">Ensured implementation of the regulatory and institutional framework of the Asset Recovery System in Bulgaria </w:t>
            </w:r>
            <w:bookmarkEnd w:id="4"/>
            <w:bookmarkEnd w:id="5"/>
          </w:p>
        </w:tc>
      </w:tr>
      <w:tr w:rsidR="00C6763A" w:rsidRPr="00501840" w:rsidTr="00501840">
        <w:trPr>
          <w:trHeight w:val="585"/>
        </w:trPr>
        <w:tc>
          <w:tcPr>
            <w:tcW w:w="1980" w:type="dxa"/>
            <w:shd w:val="clear" w:color="auto" w:fill="auto"/>
          </w:tcPr>
          <w:p w:rsidR="00C6763A" w:rsidRPr="00501840" w:rsidRDefault="00C6763A" w:rsidP="00C6763A">
            <w:pPr>
              <w:spacing w:line="260" w:lineRule="atLeast"/>
              <w:jc w:val="both"/>
              <w:rPr>
                <w:color w:val="000000"/>
                <w:sz w:val="22"/>
                <w:szCs w:val="22"/>
                <w:lang w:eastAsia="en-GB"/>
              </w:rPr>
            </w:pPr>
            <w:r w:rsidRPr="00501840">
              <w:rPr>
                <w:bCs/>
                <w:kern w:val="1"/>
                <w:sz w:val="22"/>
                <w:szCs w:val="22"/>
                <w:lang w:eastAsia="zh-CN"/>
              </w:rPr>
              <w:t>Outcome  2</w:t>
            </w:r>
          </w:p>
        </w:tc>
        <w:tc>
          <w:tcPr>
            <w:tcW w:w="7560" w:type="dxa"/>
            <w:shd w:val="clear" w:color="auto" w:fill="auto"/>
          </w:tcPr>
          <w:p w:rsidR="00C6763A" w:rsidRPr="00501840" w:rsidRDefault="00C6763A" w:rsidP="00C6763A">
            <w:pPr>
              <w:spacing w:line="260" w:lineRule="atLeast"/>
              <w:rPr>
                <w:bCs/>
                <w:kern w:val="1"/>
                <w:sz w:val="22"/>
                <w:szCs w:val="22"/>
                <w:lang w:eastAsia="zh-CN"/>
              </w:rPr>
            </w:pPr>
            <w:bookmarkStart w:id="6" w:name="OLE_LINK11"/>
            <w:bookmarkStart w:id="7" w:name="OLE_LINK12"/>
            <w:r w:rsidRPr="00501840">
              <w:rPr>
                <w:bCs/>
                <w:kern w:val="1"/>
                <w:sz w:val="22"/>
                <w:szCs w:val="22"/>
                <w:lang w:eastAsia="zh-CN"/>
              </w:rPr>
              <w:t>Improved capacities, coordination, cooperation, and knowledge/information sharing with national and foreign institutions in order to support the Asset Recovery System in Bulgaria</w:t>
            </w:r>
            <w:bookmarkEnd w:id="6"/>
            <w:bookmarkEnd w:id="7"/>
          </w:p>
        </w:tc>
      </w:tr>
      <w:tr w:rsidR="00C6763A" w:rsidRPr="00501840" w:rsidTr="00501840">
        <w:tc>
          <w:tcPr>
            <w:tcW w:w="1980" w:type="dxa"/>
            <w:shd w:val="clear" w:color="auto" w:fill="auto"/>
          </w:tcPr>
          <w:p w:rsidR="00C6763A" w:rsidRPr="00501840" w:rsidRDefault="00C6763A" w:rsidP="00C6763A">
            <w:pPr>
              <w:spacing w:line="260" w:lineRule="atLeast"/>
              <w:jc w:val="both"/>
              <w:rPr>
                <w:color w:val="000000"/>
                <w:sz w:val="22"/>
                <w:szCs w:val="22"/>
                <w:lang w:eastAsia="en-GB"/>
              </w:rPr>
            </w:pPr>
            <w:r w:rsidRPr="00501840">
              <w:rPr>
                <w:bCs/>
                <w:kern w:val="1"/>
                <w:sz w:val="22"/>
                <w:szCs w:val="22"/>
                <w:lang w:eastAsia="zh-CN"/>
              </w:rPr>
              <w:t>Outcome 3</w:t>
            </w:r>
          </w:p>
        </w:tc>
        <w:tc>
          <w:tcPr>
            <w:tcW w:w="7560" w:type="dxa"/>
            <w:shd w:val="clear" w:color="auto" w:fill="auto"/>
          </w:tcPr>
          <w:p w:rsidR="00C6763A" w:rsidRPr="00501840" w:rsidRDefault="00C6763A" w:rsidP="00C6763A">
            <w:pPr>
              <w:spacing w:line="260" w:lineRule="atLeast"/>
              <w:jc w:val="both"/>
              <w:rPr>
                <w:color w:val="000000"/>
                <w:sz w:val="22"/>
                <w:szCs w:val="22"/>
                <w:lang w:eastAsia="en-GB"/>
              </w:rPr>
            </w:pPr>
            <w:r w:rsidRPr="00501840">
              <w:rPr>
                <w:bCs/>
                <w:kern w:val="1"/>
                <w:sz w:val="22"/>
                <w:szCs w:val="22"/>
                <w:lang w:eastAsia="zh-CN"/>
              </w:rPr>
              <w:t>Improved IT and Communications System, supporting the Asset Recovery in Bulgaria</w:t>
            </w:r>
          </w:p>
        </w:tc>
      </w:tr>
    </w:tbl>
    <w:p w:rsidR="00C6763A" w:rsidRPr="00501840" w:rsidRDefault="00C6763A" w:rsidP="00C6763A">
      <w:pPr>
        <w:rPr>
          <w:sz w:val="22"/>
          <w:szCs w:val="22"/>
        </w:rPr>
      </w:pPr>
    </w:p>
    <w:p w:rsidR="008D0085" w:rsidRPr="00501840" w:rsidRDefault="008D0085" w:rsidP="000F5947">
      <w:pPr>
        <w:jc w:val="both"/>
        <w:rPr>
          <w:b/>
          <w:sz w:val="22"/>
          <w:szCs w:val="22"/>
        </w:rPr>
      </w:pPr>
    </w:p>
    <w:p w:rsidR="008D0085" w:rsidRPr="00501840" w:rsidRDefault="008D0085" w:rsidP="000F5947">
      <w:pPr>
        <w:jc w:val="both"/>
        <w:rPr>
          <w:sz w:val="22"/>
          <w:szCs w:val="22"/>
        </w:rPr>
      </w:pPr>
      <w:r w:rsidRPr="00501840">
        <w:rPr>
          <w:sz w:val="22"/>
          <w:szCs w:val="22"/>
        </w:rPr>
        <w:t xml:space="preserve">The Project is implemented by the </w:t>
      </w:r>
      <w:r w:rsidR="00F87014" w:rsidRPr="00501840">
        <w:rPr>
          <w:bCs/>
          <w:kern w:val="1"/>
          <w:sz w:val="22"/>
          <w:szCs w:val="22"/>
          <w:lang w:eastAsia="zh-CN"/>
        </w:rPr>
        <w:t>Commission for Illegal Assets Forfeiture</w:t>
      </w:r>
      <w:r w:rsidRPr="00501840">
        <w:rPr>
          <w:sz w:val="22"/>
          <w:szCs w:val="22"/>
        </w:rPr>
        <w:t xml:space="preserve">. </w:t>
      </w:r>
      <w:r w:rsidR="00196625" w:rsidRPr="00501840">
        <w:rPr>
          <w:sz w:val="22"/>
          <w:szCs w:val="22"/>
        </w:rPr>
        <w:t xml:space="preserve">In this capacity it is responsible for initiating, preparing and implementing all the project activities (including evaluation and reporting). </w:t>
      </w:r>
      <w:r w:rsidRPr="00501840">
        <w:rPr>
          <w:sz w:val="22"/>
          <w:szCs w:val="22"/>
        </w:rPr>
        <w:t>The CIAF</w:t>
      </w:r>
      <w:r w:rsidR="00D36B9B" w:rsidRPr="00501840">
        <w:rPr>
          <w:sz w:val="22"/>
          <w:szCs w:val="22"/>
        </w:rPr>
        <w:t xml:space="preserve"> has established a Project team, which is led by the Chairman of the CIAF itself. </w:t>
      </w:r>
    </w:p>
    <w:p w:rsidR="00D36B9B" w:rsidRPr="00501840" w:rsidRDefault="00D36B9B" w:rsidP="000F5947">
      <w:pPr>
        <w:jc w:val="both"/>
        <w:rPr>
          <w:sz w:val="22"/>
          <w:szCs w:val="22"/>
        </w:rPr>
      </w:pPr>
    </w:p>
    <w:p w:rsidR="00D36B9B" w:rsidRPr="00501840" w:rsidRDefault="00D36B9B" w:rsidP="000F5947">
      <w:pPr>
        <w:jc w:val="both"/>
        <w:rPr>
          <w:sz w:val="22"/>
          <w:szCs w:val="22"/>
        </w:rPr>
      </w:pPr>
      <w:r w:rsidRPr="00501840">
        <w:rPr>
          <w:sz w:val="22"/>
          <w:szCs w:val="22"/>
        </w:rPr>
        <w:t xml:space="preserve">The Council of Europe is a Project partner, and contributes its expertise to a number of activities within the Project. The CoE also draws on its extensive network of professionals in the area of asset recovery in order to bring the best practices of CoE member-states into Project activities. A Project Administrator in the CoE is responsible for implementing the partner role of the CoE within this Project. </w:t>
      </w:r>
    </w:p>
    <w:p w:rsidR="005A2479" w:rsidRDefault="005A2479" w:rsidP="000F5947">
      <w:pPr>
        <w:jc w:val="both"/>
        <w:rPr>
          <w:sz w:val="24"/>
          <w:szCs w:val="24"/>
        </w:rPr>
      </w:pPr>
    </w:p>
    <w:sectPr w:rsidR="005A2479" w:rsidSect="00757CB2">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F17"/>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EA6BB0"/>
    <w:multiLevelType w:val="hybridMultilevel"/>
    <w:tmpl w:val="CB4E1B16"/>
    <w:lvl w:ilvl="0" w:tplc="8090865E">
      <w:start w:val="1"/>
      <w:numFmt w:val="decimal"/>
      <w:lvlText w:val="%1."/>
      <w:lvlJc w:val="left"/>
      <w:pPr>
        <w:tabs>
          <w:tab w:val="num" w:pos="540"/>
        </w:tabs>
        <w:ind w:left="540" w:hanging="360"/>
      </w:pPr>
      <w:rPr>
        <w:rFonts w:hint="default"/>
        <w:i w:val="0"/>
        <w:sz w:val="22"/>
        <w:szCs w:val="22"/>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407749A3"/>
    <w:multiLevelType w:val="hybridMultilevel"/>
    <w:tmpl w:val="76783E18"/>
    <w:lvl w:ilvl="0" w:tplc="4D30B80E">
      <w:start w:val="1"/>
      <w:numFmt w:val="decimal"/>
      <w:pStyle w:val="MER-Heading3"/>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77ECD"/>
    <w:multiLevelType w:val="hybridMultilevel"/>
    <w:tmpl w:val="70C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F7D71"/>
    <w:multiLevelType w:val="hybridMultilevel"/>
    <w:tmpl w:val="80A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266735"/>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FD616B"/>
    <w:multiLevelType w:val="hybridMultilevel"/>
    <w:tmpl w:val="028CF9E0"/>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8"/>
    <w:rsid w:val="00025B46"/>
    <w:rsid w:val="00045367"/>
    <w:rsid w:val="000F5947"/>
    <w:rsid w:val="0012412E"/>
    <w:rsid w:val="00196625"/>
    <w:rsid w:val="00317DD3"/>
    <w:rsid w:val="00452B08"/>
    <w:rsid w:val="00454039"/>
    <w:rsid w:val="004D37CF"/>
    <w:rsid w:val="00501840"/>
    <w:rsid w:val="005A2479"/>
    <w:rsid w:val="005F46B5"/>
    <w:rsid w:val="007422B6"/>
    <w:rsid w:val="00756D92"/>
    <w:rsid w:val="00757CB2"/>
    <w:rsid w:val="007D612B"/>
    <w:rsid w:val="008D0085"/>
    <w:rsid w:val="00945794"/>
    <w:rsid w:val="009F67BA"/>
    <w:rsid w:val="00A957AC"/>
    <w:rsid w:val="00B9417B"/>
    <w:rsid w:val="00C6763A"/>
    <w:rsid w:val="00CE7471"/>
    <w:rsid w:val="00CE7E0D"/>
    <w:rsid w:val="00D36B9B"/>
    <w:rsid w:val="00E35495"/>
    <w:rsid w:val="00F425E4"/>
    <w:rsid w:val="00F8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Council of Europe</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Boriana Yotova</cp:lastModifiedBy>
  <cp:revision>2</cp:revision>
  <dcterms:created xsi:type="dcterms:W3CDTF">2014-12-19T11:11:00Z</dcterms:created>
  <dcterms:modified xsi:type="dcterms:W3CDTF">2014-12-19T11:11:00Z</dcterms:modified>
</cp:coreProperties>
</file>