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35" w:rsidRPr="002B4E8F" w:rsidRDefault="00920E35" w:rsidP="000030A1">
      <w:pPr>
        <w:keepNext/>
        <w:spacing w:line="360" w:lineRule="auto"/>
        <w:jc w:val="center"/>
        <w:outlineLvl w:val="3"/>
        <w:rPr>
          <w:b/>
          <w:sz w:val="28"/>
          <w:szCs w:val="32"/>
          <w:lang w:val="bg-BG"/>
        </w:rPr>
      </w:pPr>
    </w:p>
    <w:p w:rsidR="00D47D35" w:rsidRPr="00710CF2" w:rsidRDefault="00710CF2" w:rsidP="000030A1">
      <w:pPr>
        <w:spacing w:line="360" w:lineRule="auto"/>
        <w:ind w:right="278"/>
        <w:jc w:val="center"/>
        <w:rPr>
          <w:b/>
          <w:sz w:val="24"/>
          <w:szCs w:val="24"/>
          <w:lang w:val="bg-BG"/>
        </w:rPr>
      </w:pPr>
      <w:r>
        <w:rPr>
          <w:b/>
          <w:sz w:val="24"/>
          <w:szCs w:val="24"/>
          <w:lang w:val="en-US"/>
        </w:rPr>
        <w:t>PROJECT:</w:t>
      </w:r>
      <w:r w:rsidR="00D47D35" w:rsidRPr="002B4E8F">
        <w:rPr>
          <w:b/>
          <w:sz w:val="24"/>
          <w:szCs w:val="24"/>
          <w:lang w:val="bg-BG"/>
        </w:rPr>
        <w:t xml:space="preserve"> </w:t>
      </w:r>
      <w:r w:rsidR="00D47D35" w:rsidRPr="00710CF2">
        <w:rPr>
          <w:b/>
          <w:sz w:val="24"/>
          <w:szCs w:val="24"/>
          <w:lang w:val="bg-BG"/>
        </w:rPr>
        <w:t>„</w:t>
      </w:r>
      <w:r w:rsidRPr="00710CF2">
        <w:rPr>
          <w:b/>
          <w:sz w:val="24"/>
        </w:rPr>
        <w:t>ENHANCED CAPACITIES OF BULGARIAN AUTHORITIES TO RECOVER AND MANAGE CRIMINAL ASSETS</w:t>
      </w:r>
      <w:r w:rsidR="00D47D35" w:rsidRPr="00710CF2">
        <w:rPr>
          <w:b/>
          <w:sz w:val="24"/>
          <w:szCs w:val="24"/>
          <w:lang w:val="bg-BG"/>
        </w:rPr>
        <w:t>“</w:t>
      </w:r>
    </w:p>
    <w:p w:rsidR="00D47D35" w:rsidRDefault="00D47D35" w:rsidP="000030A1">
      <w:pPr>
        <w:spacing w:line="360" w:lineRule="auto"/>
        <w:ind w:right="278"/>
        <w:jc w:val="center"/>
        <w:rPr>
          <w:b/>
          <w:sz w:val="24"/>
          <w:szCs w:val="24"/>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953"/>
      </w:tblGrid>
      <w:tr w:rsidR="00E15D05" w:rsidRPr="00256B5F" w:rsidTr="00A55ACA">
        <w:tc>
          <w:tcPr>
            <w:tcW w:w="3261" w:type="dxa"/>
            <w:shd w:val="clear" w:color="auto" w:fill="D9D9D9" w:themeFill="background1" w:themeFillShade="D9"/>
          </w:tcPr>
          <w:p w:rsidR="00E15D05" w:rsidRDefault="00E15D05" w:rsidP="000030A1">
            <w:pPr>
              <w:spacing w:line="360" w:lineRule="auto"/>
              <w:rPr>
                <w:b/>
                <w:sz w:val="24"/>
                <w:szCs w:val="24"/>
                <w:lang w:val="en-US"/>
              </w:rPr>
            </w:pPr>
            <w:r>
              <w:rPr>
                <w:b/>
                <w:sz w:val="24"/>
                <w:szCs w:val="24"/>
                <w:lang w:val="en-US"/>
              </w:rPr>
              <w:t>Beneficiary</w:t>
            </w:r>
          </w:p>
        </w:tc>
        <w:tc>
          <w:tcPr>
            <w:tcW w:w="5953" w:type="dxa"/>
          </w:tcPr>
          <w:p w:rsidR="00E15D05" w:rsidRDefault="00E15D05" w:rsidP="000030A1">
            <w:pPr>
              <w:spacing w:line="360" w:lineRule="auto"/>
              <w:jc w:val="both"/>
              <w:rPr>
                <w:sz w:val="24"/>
                <w:szCs w:val="24"/>
                <w:lang w:val="en-US" w:eastAsia="bg-BG"/>
              </w:rPr>
            </w:pPr>
            <w:r w:rsidRPr="00E15D05">
              <w:rPr>
                <w:sz w:val="24"/>
                <w:szCs w:val="18"/>
              </w:rPr>
              <w:t>Commission For Anti-Corruption And Illegal Assets Forfeiture</w:t>
            </w:r>
            <w:r w:rsidRPr="00E15D05">
              <w:rPr>
                <w:noProof/>
                <w:sz w:val="24"/>
                <w:szCs w:val="18"/>
              </w:rPr>
              <w:t xml:space="preserve"> </w:t>
            </w:r>
            <w:r w:rsidRPr="00E15D05">
              <w:rPr>
                <w:sz w:val="24"/>
                <w:szCs w:val="24"/>
                <w:lang w:val="en-US"/>
              </w:rPr>
              <w:t>(CACIAF)</w:t>
            </w:r>
          </w:p>
        </w:tc>
      </w:tr>
      <w:tr w:rsidR="00D47D35" w:rsidRPr="00256B5F" w:rsidTr="00A55ACA">
        <w:tc>
          <w:tcPr>
            <w:tcW w:w="3261" w:type="dxa"/>
            <w:shd w:val="clear" w:color="auto" w:fill="D9D9D9" w:themeFill="background1" w:themeFillShade="D9"/>
          </w:tcPr>
          <w:p w:rsidR="00D47D35" w:rsidRPr="00710CF2" w:rsidRDefault="00710CF2" w:rsidP="000030A1">
            <w:pPr>
              <w:spacing w:line="360" w:lineRule="auto"/>
              <w:rPr>
                <w:b/>
                <w:sz w:val="24"/>
                <w:szCs w:val="24"/>
                <w:lang w:val="en-US"/>
              </w:rPr>
            </w:pPr>
            <w:r>
              <w:rPr>
                <w:b/>
                <w:sz w:val="24"/>
                <w:szCs w:val="24"/>
                <w:lang w:val="en-US"/>
              </w:rPr>
              <w:t xml:space="preserve">Financial mechanism </w:t>
            </w:r>
          </w:p>
        </w:tc>
        <w:tc>
          <w:tcPr>
            <w:tcW w:w="5953" w:type="dxa"/>
          </w:tcPr>
          <w:p w:rsidR="00D47D35" w:rsidRPr="002B4E8F" w:rsidRDefault="00710CF2" w:rsidP="000030A1">
            <w:pPr>
              <w:spacing w:line="360" w:lineRule="auto"/>
              <w:jc w:val="both"/>
              <w:rPr>
                <w:sz w:val="24"/>
                <w:szCs w:val="24"/>
                <w:lang w:val="bg-BG"/>
              </w:rPr>
            </w:pPr>
            <w:r>
              <w:rPr>
                <w:sz w:val="24"/>
                <w:szCs w:val="24"/>
                <w:lang w:val="en-US" w:eastAsia="bg-BG"/>
              </w:rPr>
              <w:t>Norwegian Financial Mechanism</w:t>
            </w:r>
            <w:r w:rsidR="00D47D35" w:rsidRPr="002B4E8F">
              <w:rPr>
                <w:sz w:val="24"/>
                <w:szCs w:val="24"/>
                <w:lang w:val="bg-BG" w:eastAsia="bg-BG"/>
              </w:rPr>
              <w:t xml:space="preserve"> 2014-2021 </w:t>
            </w:r>
          </w:p>
          <w:p w:rsidR="00D47D35" w:rsidRPr="002B4E8F" w:rsidRDefault="00D47D35" w:rsidP="000030A1">
            <w:pPr>
              <w:spacing w:line="360" w:lineRule="auto"/>
              <w:jc w:val="both"/>
              <w:rPr>
                <w:sz w:val="24"/>
                <w:szCs w:val="24"/>
                <w:lang w:val="bg-BG"/>
              </w:rPr>
            </w:pPr>
          </w:p>
        </w:tc>
      </w:tr>
      <w:tr w:rsidR="006D3858" w:rsidRPr="00256B5F" w:rsidTr="00A55ACA">
        <w:tc>
          <w:tcPr>
            <w:tcW w:w="3261" w:type="dxa"/>
            <w:shd w:val="clear" w:color="auto" w:fill="D9D9D9" w:themeFill="background1" w:themeFillShade="D9"/>
          </w:tcPr>
          <w:p w:rsidR="006D3858" w:rsidRDefault="00710CF2" w:rsidP="000030A1">
            <w:pPr>
              <w:spacing w:line="360" w:lineRule="auto"/>
              <w:rPr>
                <w:b/>
                <w:sz w:val="24"/>
                <w:szCs w:val="24"/>
                <w:lang w:val="bg-BG"/>
              </w:rPr>
            </w:pPr>
            <w:r>
              <w:rPr>
                <w:b/>
                <w:sz w:val="24"/>
                <w:szCs w:val="24"/>
                <w:lang w:val="en-US"/>
              </w:rPr>
              <w:t>Program</w:t>
            </w:r>
            <w:r w:rsidR="006D3858">
              <w:rPr>
                <w:b/>
                <w:sz w:val="24"/>
                <w:szCs w:val="24"/>
                <w:lang w:val="bg-BG"/>
              </w:rPr>
              <w:t>,</w:t>
            </w:r>
          </w:p>
          <w:p w:rsidR="006D3858" w:rsidRPr="00710CF2" w:rsidRDefault="00710CF2" w:rsidP="000030A1">
            <w:pPr>
              <w:spacing w:line="360" w:lineRule="auto"/>
              <w:rPr>
                <w:b/>
                <w:sz w:val="24"/>
                <w:szCs w:val="24"/>
                <w:lang w:val="en-US"/>
              </w:rPr>
            </w:pPr>
            <w:r>
              <w:rPr>
                <w:b/>
                <w:sz w:val="24"/>
                <w:szCs w:val="24"/>
                <w:lang w:val="en-US"/>
              </w:rPr>
              <w:t>Program area</w:t>
            </w:r>
          </w:p>
          <w:p w:rsidR="006D3858" w:rsidRPr="0041408B" w:rsidRDefault="006D3858" w:rsidP="000030A1">
            <w:pPr>
              <w:spacing w:line="360" w:lineRule="auto"/>
              <w:rPr>
                <w:b/>
                <w:sz w:val="24"/>
                <w:szCs w:val="24"/>
                <w:lang w:val="bg-BG"/>
              </w:rPr>
            </w:pPr>
          </w:p>
        </w:tc>
        <w:tc>
          <w:tcPr>
            <w:tcW w:w="5953" w:type="dxa"/>
          </w:tcPr>
          <w:p w:rsidR="006D3858" w:rsidRDefault="00710CF2" w:rsidP="000030A1">
            <w:pPr>
              <w:spacing w:line="360" w:lineRule="auto"/>
              <w:jc w:val="both"/>
              <w:rPr>
                <w:iCs/>
                <w:color w:val="00B050"/>
                <w:sz w:val="24"/>
                <w:szCs w:val="24"/>
                <w:lang w:val="bg-BG"/>
              </w:rPr>
            </w:pPr>
            <w:r>
              <w:rPr>
                <w:sz w:val="24"/>
                <w:szCs w:val="24"/>
                <w:lang w:val="en-US"/>
              </w:rPr>
              <w:t>Internal Affairs</w:t>
            </w:r>
            <w:r w:rsidR="006D3858">
              <w:rPr>
                <w:sz w:val="24"/>
                <w:szCs w:val="24"/>
                <w:lang w:val="bg-BG"/>
              </w:rPr>
              <w:t>,</w:t>
            </w:r>
            <w:r w:rsidR="006D3858" w:rsidRPr="0041408B">
              <w:rPr>
                <w:iCs/>
                <w:color w:val="00B050"/>
                <w:sz w:val="24"/>
                <w:szCs w:val="24"/>
              </w:rPr>
              <w:t xml:space="preserve"> </w:t>
            </w:r>
          </w:p>
          <w:p w:rsidR="006D3858" w:rsidRPr="002B4E8F" w:rsidRDefault="006D3858" w:rsidP="000030A1">
            <w:pPr>
              <w:spacing w:line="360" w:lineRule="auto"/>
              <w:rPr>
                <w:sz w:val="24"/>
                <w:szCs w:val="24"/>
                <w:lang w:val="bg-BG"/>
              </w:rPr>
            </w:pPr>
            <w:r w:rsidRPr="006D3858">
              <w:rPr>
                <w:iCs/>
                <w:sz w:val="24"/>
                <w:szCs w:val="24"/>
              </w:rPr>
              <w:t xml:space="preserve">PA16 - </w:t>
            </w:r>
            <w:r w:rsidR="00710CF2" w:rsidRPr="00710CF2">
              <w:rPr>
                <w:iCs/>
                <w:sz w:val="24"/>
                <w:szCs w:val="24"/>
              </w:rPr>
              <w:t xml:space="preserve">Good </w:t>
            </w:r>
            <w:r w:rsidR="005E3EB2">
              <w:rPr>
                <w:iCs/>
                <w:sz w:val="24"/>
                <w:szCs w:val="24"/>
              </w:rPr>
              <w:t>Governance, Responsible Institutions, T</w:t>
            </w:r>
            <w:r w:rsidR="00710CF2" w:rsidRPr="00710CF2">
              <w:rPr>
                <w:iCs/>
                <w:sz w:val="24"/>
                <w:szCs w:val="24"/>
              </w:rPr>
              <w:t>ransparency</w:t>
            </w:r>
          </w:p>
        </w:tc>
      </w:tr>
      <w:tr w:rsidR="006D3858" w:rsidRPr="00256B5F" w:rsidTr="00A55ACA">
        <w:tc>
          <w:tcPr>
            <w:tcW w:w="3261" w:type="dxa"/>
            <w:shd w:val="clear" w:color="auto" w:fill="D9D9D9" w:themeFill="background1" w:themeFillShade="D9"/>
          </w:tcPr>
          <w:p w:rsidR="006D3858" w:rsidRPr="00710CF2" w:rsidRDefault="00710CF2" w:rsidP="000030A1">
            <w:pPr>
              <w:spacing w:line="360" w:lineRule="auto"/>
              <w:rPr>
                <w:b/>
                <w:sz w:val="24"/>
                <w:szCs w:val="24"/>
                <w:lang w:val="en-US"/>
              </w:rPr>
            </w:pPr>
            <w:r>
              <w:rPr>
                <w:b/>
                <w:sz w:val="24"/>
                <w:szCs w:val="24"/>
                <w:lang w:val="en-US"/>
              </w:rPr>
              <w:t xml:space="preserve">Program Operator </w:t>
            </w:r>
          </w:p>
        </w:tc>
        <w:tc>
          <w:tcPr>
            <w:tcW w:w="5953" w:type="dxa"/>
          </w:tcPr>
          <w:p w:rsidR="00710CF2" w:rsidRPr="00710CF2" w:rsidRDefault="00710CF2" w:rsidP="000030A1">
            <w:pPr>
              <w:spacing w:line="360" w:lineRule="auto"/>
              <w:rPr>
                <w:sz w:val="24"/>
                <w:szCs w:val="24"/>
                <w:lang w:val="bg-BG"/>
              </w:rPr>
            </w:pPr>
            <w:r>
              <w:rPr>
                <w:sz w:val="24"/>
                <w:szCs w:val="24"/>
                <w:lang w:val="en-US"/>
              </w:rPr>
              <w:t>Ministry of Interior</w:t>
            </w:r>
            <w:r w:rsidRPr="00710CF2">
              <w:rPr>
                <w:sz w:val="24"/>
                <w:szCs w:val="24"/>
                <w:lang w:val="bg-BG"/>
              </w:rPr>
              <w:t>,</w:t>
            </w:r>
          </w:p>
          <w:p w:rsidR="006D3858" w:rsidRPr="00710CF2" w:rsidRDefault="00710CF2" w:rsidP="000030A1">
            <w:pPr>
              <w:spacing w:line="360" w:lineRule="auto"/>
              <w:jc w:val="both"/>
              <w:rPr>
                <w:sz w:val="24"/>
                <w:szCs w:val="24"/>
                <w:lang w:val="en-US"/>
              </w:rPr>
            </w:pPr>
            <w:r>
              <w:rPr>
                <w:sz w:val="24"/>
                <w:szCs w:val="24"/>
                <w:lang w:val="en-US"/>
              </w:rPr>
              <w:t>“</w:t>
            </w:r>
            <w:r w:rsidRPr="00710CF2">
              <w:rPr>
                <w:sz w:val="24"/>
                <w:szCs w:val="24"/>
                <w:lang w:val="bg-BG"/>
              </w:rPr>
              <w:t xml:space="preserve">International </w:t>
            </w:r>
            <w:r>
              <w:rPr>
                <w:sz w:val="24"/>
                <w:szCs w:val="24"/>
                <w:lang w:val="en-US"/>
              </w:rPr>
              <w:t>Projects” Directorate</w:t>
            </w:r>
          </w:p>
        </w:tc>
      </w:tr>
      <w:tr w:rsidR="00D47D35" w:rsidRPr="00256B5F" w:rsidTr="00A55ACA">
        <w:tc>
          <w:tcPr>
            <w:tcW w:w="3261" w:type="dxa"/>
            <w:shd w:val="clear" w:color="auto" w:fill="D9D9D9" w:themeFill="background1" w:themeFillShade="D9"/>
          </w:tcPr>
          <w:p w:rsidR="00D47D35" w:rsidRPr="00710CF2" w:rsidRDefault="00710CF2" w:rsidP="000030A1">
            <w:pPr>
              <w:spacing w:line="360" w:lineRule="auto"/>
              <w:rPr>
                <w:b/>
                <w:sz w:val="24"/>
                <w:szCs w:val="24"/>
                <w:lang w:val="en-US"/>
              </w:rPr>
            </w:pPr>
            <w:r>
              <w:rPr>
                <w:b/>
                <w:sz w:val="24"/>
                <w:szCs w:val="24"/>
                <w:lang w:val="en-US"/>
              </w:rPr>
              <w:t>Budget</w:t>
            </w:r>
          </w:p>
        </w:tc>
        <w:tc>
          <w:tcPr>
            <w:tcW w:w="5953" w:type="dxa"/>
          </w:tcPr>
          <w:p w:rsidR="00D47D35" w:rsidRPr="005E3EB2" w:rsidRDefault="00D47D35" w:rsidP="000030A1">
            <w:pPr>
              <w:spacing w:line="360" w:lineRule="auto"/>
              <w:jc w:val="both"/>
              <w:rPr>
                <w:sz w:val="24"/>
                <w:szCs w:val="24"/>
                <w:lang w:val="en-US"/>
              </w:rPr>
            </w:pPr>
            <w:r w:rsidRPr="002B4E8F">
              <w:rPr>
                <w:sz w:val="24"/>
                <w:szCs w:val="24"/>
                <w:lang w:val="bg-BG"/>
              </w:rPr>
              <w:t xml:space="preserve">1 466 411 </w:t>
            </w:r>
            <w:r w:rsidR="00710CF2">
              <w:rPr>
                <w:sz w:val="24"/>
                <w:szCs w:val="24"/>
                <w:lang w:val="en-US"/>
              </w:rPr>
              <w:t>BGN</w:t>
            </w:r>
          </w:p>
        </w:tc>
      </w:tr>
      <w:tr w:rsidR="00D47D35" w:rsidRPr="00256B5F" w:rsidTr="00A55ACA">
        <w:trPr>
          <w:trHeight w:val="92"/>
        </w:trPr>
        <w:tc>
          <w:tcPr>
            <w:tcW w:w="3261" w:type="dxa"/>
            <w:shd w:val="clear" w:color="auto" w:fill="D9D9D9" w:themeFill="background1" w:themeFillShade="D9"/>
          </w:tcPr>
          <w:p w:rsidR="00D47D35" w:rsidRPr="00710CF2" w:rsidRDefault="00710CF2" w:rsidP="000030A1">
            <w:pPr>
              <w:spacing w:line="360" w:lineRule="auto"/>
              <w:rPr>
                <w:b/>
                <w:sz w:val="24"/>
                <w:szCs w:val="24"/>
                <w:lang w:val="en-US"/>
              </w:rPr>
            </w:pPr>
            <w:r>
              <w:rPr>
                <w:b/>
                <w:sz w:val="24"/>
                <w:szCs w:val="24"/>
                <w:lang w:val="en-US"/>
              </w:rPr>
              <w:t xml:space="preserve">Grant Amount </w:t>
            </w:r>
          </w:p>
        </w:tc>
        <w:tc>
          <w:tcPr>
            <w:tcW w:w="5953" w:type="dxa"/>
          </w:tcPr>
          <w:p w:rsidR="00D47D35" w:rsidRPr="002B4E8F" w:rsidRDefault="00D47D35" w:rsidP="000030A1">
            <w:pPr>
              <w:spacing w:line="360" w:lineRule="auto"/>
              <w:rPr>
                <w:sz w:val="24"/>
                <w:szCs w:val="24"/>
                <w:lang w:val="bg-BG"/>
              </w:rPr>
            </w:pPr>
            <w:r w:rsidRPr="002B4E8F">
              <w:rPr>
                <w:sz w:val="24"/>
                <w:szCs w:val="24"/>
                <w:lang w:val="bg-BG"/>
              </w:rPr>
              <w:t>100%</w:t>
            </w:r>
          </w:p>
        </w:tc>
      </w:tr>
      <w:tr w:rsidR="00D47D35" w:rsidRPr="00256B5F" w:rsidTr="00A55ACA">
        <w:trPr>
          <w:trHeight w:val="92"/>
        </w:trPr>
        <w:tc>
          <w:tcPr>
            <w:tcW w:w="3261" w:type="dxa"/>
            <w:shd w:val="clear" w:color="auto" w:fill="D9D9D9" w:themeFill="background1" w:themeFillShade="D9"/>
          </w:tcPr>
          <w:p w:rsidR="00D47D35" w:rsidRPr="00710CF2" w:rsidRDefault="00710CF2" w:rsidP="000030A1">
            <w:pPr>
              <w:spacing w:line="360" w:lineRule="auto"/>
              <w:rPr>
                <w:b/>
                <w:sz w:val="24"/>
                <w:szCs w:val="24"/>
                <w:lang w:val="en-US"/>
              </w:rPr>
            </w:pPr>
            <w:r>
              <w:rPr>
                <w:b/>
                <w:sz w:val="24"/>
                <w:szCs w:val="24"/>
                <w:lang w:val="en-US"/>
              </w:rPr>
              <w:t xml:space="preserve">Date of Contract signature </w:t>
            </w:r>
          </w:p>
        </w:tc>
        <w:tc>
          <w:tcPr>
            <w:tcW w:w="5953" w:type="dxa"/>
          </w:tcPr>
          <w:p w:rsidR="00D47D35" w:rsidRPr="002B4E8F" w:rsidRDefault="00D47D35" w:rsidP="000030A1">
            <w:pPr>
              <w:spacing w:line="360" w:lineRule="auto"/>
              <w:rPr>
                <w:sz w:val="24"/>
                <w:szCs w:val="24"/>
                <w:lang w:val="bg-BG"/>
              </w:rPr>
            </w:pPr>
            <w:r w:rsidRPr="002B4E8F">
              <w:rPr>
                <w:sz w:val="24"/>
                <w:szCs w:val="24"/>
              </w:rPr>
              <w:t xml:space="preserve">22.07.2020 </w:t>
            </w:r>
          </w:p>
        </w:tc>
      </w:tr>
      <w:tr w:rsidR="00D47D35" w:rsidRPr="00256B5F" w:rsidTr="00A55ACA">
        <w:tc>
          <w:tcPr>
            <w:tcW w:w="3261" w:type="dxa"/>
            <w:shd w:val="clear" w:color="auto" w:fill="D9D9D9" w:themeFill="background1" w:themeFillShade="D9"/>
          </w:tcPr>
          <w:p w:rsidR="00D47D35" w:rsidRPr="00710CF2" w:rsidRDefault="00710CF2" w:rsidP="000030A1">
            <w:pPr>
              <w:spacing w:line="360" w:lineRule="auto"/>
              <w:rPr>
                <w:b/>
                <w:sz w:val="24"/>
                <w:szCs w:val="24"/>
                <w:lang w:val="en-US"/>
              </w:rPr>
            </w:pPr>
            <w:r>
              <w:rPr>
                <w:b/>
                <w:sz w:val="24"/>
                <w:szCs w:val="24"/>
                <w:lang w:val="en-US"/>
              </w:rPr>
              <w:t>Duration</w:t>
            </w:r>
          </w:p>
        </w:tc>
        <w:tc>
          <w:tcPr>
            <w:tcW w:w="5953" w:type="dxa"/>
          </w:tcPr>
          <w:p w:rsidR="00D47D35" w:rsidRPr="00710CF2" w:rsidRDefault="00710CF2" w:rsidP="000030A1">
            <w:pPr>
              <w:spacing w:line="360" w:lineRule="auto"/>
              <w:rPr>
                <w:sz w:val="24"/>
                <w:szCs w:val="24"/>
                <w:lang w:val="en-US"/>
              </w:rPr>
            </w:pPr>
            <w:r>
              <w:rPr>
                <w:sz w:val="24"/>
                <w:szCs w:val="24"/>
                <w:lang w:val="bg-BG"/>
              </w:rPr>
              <w:t xml:space="preserve">36 </w:t>
            </w:r>
            <w:r>
              <w:rPr>
                <w:sz w:val="24"/>
                <w:szCs w:val="24"/>
                <w:lang w:val="en-US"/>
              </w:rPr>
              <w:t>months</w:t>
            </w:r>
          </w:p>
        </w:tc>
      </w:tr>
    </w:tbl>
    <w:p w:rsidR="00D47D35" w:rsidRDefault="00D47D35" w:rsidP="000030A1">
      <w:pPr>
        <w:pStyle w:val="Style2"/>
        <w:spacing w:line="360" w:lineRule="auto"/>
        <w:rPr>
          <w:rFonts w:ascii="Times New Roman" w:hAnsi="Times New Roman"/>
          <w:sz w:val="22"/>
          <w:szCs w:val="22"/>
          <w:lang w:val="en-US"/>
        </w:rPr>
      </w:pPr>
    </w:p>
    <w:p w:rsidR="00350ACE" w:rsidRPr="00350ACE" w:rsidRDefault="00350ACE" w:rsidP="000030A1">
      <w:pPr>
        <w:spacing w:line="360" w:lineRule="auto"/>
        <w:jc w:val="both"/>
        <w:rPr>
          <w:rFonts w:eastAsia="Calibri"/>
          <w:sz w:val="24"/>
          <w:szCs w:val="24"/>
          <w:lang w:val="en-US"/>
        </w:rPr>
      </w:pPr>
      <w:r w:rsidRPr="00350ACE">
        <w:rPr>
          <w:rFonts w:eastAsia="Calibri"/>
          <w:sz w:val="24"/>
          <w:szCs w:val="24"/>
          <w:lang w:val="en-US"/>
        </w:rPr>
        <w:t>The overall objectives of the Norwegian Financial Mechanism 2014-2021 are to contribute to the reduction of economic and social disparities in the European Economic Area and to strengthen bilateral relations between Norway and the beneficiary states through financial contributions in the priority sectors.</w:t>
      </w:r>
    </w:p>
    <w:p w:rsidR="00350ACE" w:rsidRPr="00350ACE" w:rsidRDefault="00350ACE" w:rsidP="000030A1">
      <w:pPr>
        <w:pStyle w:val="Style2"/>
        <w:spacing w:line="360" w:lineRule="auto"/>
        <w:rPr>
          <w:rFonts w:ascii="Times New Roman" w:hAnsi="Times New Roman"/>
          <w:sz w:val="22"/>
          <w:szCs w:val="22"/>
          <w:lang w:val="en-US"/>
        </w:rPr>
      </w:pPr>
    </w:p>
    <w:p w:rsidR="00D47D35" w:rsidRDefault="00BE4159" w:rsidP="000030A1">
      <w:pPr>
        <w:autoSpaceDE w:val="0"/>
        <w:autoSpaceDN w:val="0"/>
        <w:adjustRightInd w:val="0"/>
        <w:spacing w:line="360" w:lineRule="auto"/>
        <w:jc w:val="both"/>
        <w:rPr>
          <w:b/>
          <w:sz w:val="24"/>
          <w:szCs w:val="24"/>
          <w:lang w:val="en-US"/>
        </w:rPr>
      </w:pPr>
      <w:r>
        <w:rPr>
          <w:rFonts w:eastAsia="Calibri"/>
          <w:sz w:val="24"/>
          <w:szCs w:val="24"/>
          <w:lang w:val="en-US"/>
        </w:rPr>
        <w:t xml:space="preserve">Specific goals of the </w:t>
      </w:r>
      <w:r w:rsidR="00671C5E">
        <w:rPr>
          <w:rFonts w:eastAsia="Calibri"/>
          <w:sz w:val="24"/>
          <w:szCs w:val="24"/>
          <w:lang w:val="en-US"/>
        </w:rPr>
        <w:t>p</w:t>
      </w:r>
      <w:r w:rsidR="00671C5E" w:rsidRPr="00BE4159">
        <w:rPr>
          <w:sz w:val="24"/>
          <w:szCs w:val="24"/>
          <w:lang w:val="en-US"/>
        </w:rPr>
        <w:t xml:space="preserve">roject </w:t>
      </w:r>
      <w:r w:rsidRPr="00BE4159">
        <w:rPr>
          <w:sz w:val="24"/>
          <w:szCs w:val="24"/>
          <w:lang w:val="en-US"/>
        </w:rPr>
        <w:t>are</w:t>
      </w:r>
      <w:r w:rsidR="000030A1">
        <w:rPr>
          <w:sz w:val="24"/>
          <w:szCs w:val="24"/>
          <w:lang w:val="en-US"/>
        </w:rPr>
        <w:t xml:space="preserve"> related to: </w:t>
      </w:r>
    </w:p>
    <w:p w:rsidR="00BE4159" w:rsidRPr="000030A1" w:rsidRDefault="00BE4159" w:rsidP="000030A1">
      <w:pPr>
        <w:pStyle w:val="ListParagraph"/>
        <w:numPr>
          <w:ilvl w:val="0"/>
          <w:numId w:val="14"/>
        </w:numPr>
        <w:spacing w:line="360" w:lineRule="auto"/>
        <w:jc w:val="both"/>
        <w:rPr>
          <w:sz w:val="24"/>
          <w:szCs w:val="24"/>
          <w:lang w:val="en-US"/>
        </w:rPr>
      </w:pPr>
      <w:r w:rsidRPr="000030A1">
        <w:rPr>
          <w:sz w:val="24"/>
          <w:szCs w:val="24"/>
          <w:lang w:val="en-US"/>
        </w:rPr>
        <w:t xml:space="preserve">continue </w:t>
      </w:r>
      <w:r w:rsidR="00CE16B5" w:rsidRPr="000030A1">
        <w:rPr>
          <w:sz w:val="24"/>
          <w:szCs w:val="24"/>
          <w:lang w:val="en-US"/>
        </w:rPr>
        <w:t xml:space="preserve">upgrading the efficiency and effectiveness </w:t>
      </w:r>
      <w:r w:rsidRPr="000030A1">
        <w:rPr>
          <w:sz w:val="24"/>
          <w:szCs w:val="24"/>
          <w:lang w:val="en-US"/>
        </w:rPr>
        <w:t>of the system for assets recovery from</w:t>
      </w:r>
      <w:r w:rsidR="008C5548">
        <w:rPr>
          <w:sz w:val="24"/>
          <w:szCs w:val="24"/>
          <w:lang w:val="en-US"/>
        </w:rPr>
        <w:t xml:space="preserve"> criminal activity in Bulgaria</w:t>
      </w:r>
      <w:r w:rsidR="008C5548">
        <w:rPr>
          <w:sz w:val="24"/>
          <w:szCs w:val="24"/>
          <w:lang w:val="bg-BG"/>
        </w:rPr>
        <w:t>;</w:t>
      </w:r>
    </w:p>
    <w:p w:rsidR="00BE4159" w:rsidRPr="000030A1" w:rsidRDefault="00BE4159" w:rsidP="000030A1">
      <w:pPr>
        <w:pStyle w:val="ListParagraph"/>
        <w:numPr>
          <w:ilvl w:val="0"/>
          <w:numId w:val="14"/>
        </w:numPr>
        <w:spacing w:line="360" w:lineRule="auto"/>
        <w:ind w:right="278"/>
        <w:jc w:val="both"/>
        <w:rPr>
          <w:sz w:val="24"/>
          <w:szCs w:val="24"/>
          <w:lang w:val="en-US"/>
        </w:rPr>
      </w:pPr>
      <w:r w:rsidRPr="000030A1">
        <w:rPr>
          <w:sz w:val="24"/>
          <w:szCs w:val="24"/>
          <w:lang w:val="en-US"/>
        </w:rPr>
        <w:t>strengthen the system</w:t>
      </w:r>
      <w:r w:rsidR="006C5CA1" w:rsidRPr="000030A1">
        <w:rPr>
          <w:sz w:val="24"/>
          <w:szCs w:val="24"/>
          <w:lang w:val="en-US"/>
        </w:rPr>
        <w:t>s</w:t>
      </w:r>
      <w:r w:rsidRPr="000030A1">
        <w:rPr>
          <w:sz w:val="24"/>
          <w:szCs w:val="24"/>
          <w:lang w:val="en-US"/>
        </w:rPr>
        <w:t xml:space="preserve"> </w:t>
      </w:r>
      <w:r w:rsidR="00D21884" w:rsidRPr="000030A1">
        <w:rPr>
          <w:sz w:val="24"/>
          <w:szCs w:val="24"/>
          <w:lang w:val="en-US"/>
        </w:rPr>
        <w:t xml:space="preserve">for countering corruption, tracing, detection and seizure of criminal assets, which is a key step </w:t>
      </w:r>
      <w:r w:rsidR="006C5CA1" w:rsidRPr="000030A1">
        <w:rPr>
          <w:sz w:val="24"/>
          <w:szCs w:val="24"/>
          <w:lang w:val="en-US"/>
        </w:rPr>
        <w:t>towards the implementation of the priorities set forth by Bulgaria for countering and combating</w:t>
      </w:r>
      <w:r w:rsidR="008C5548">
        <w:rPr>
          <w:sz w:val="24"/>
          <w:szCs w:val="24"/>
          <w:lang w:val="en-US"/>
        </w:rPr>
        <w:t xml:space="preserve"> organized crime and corruption</w:t>
      </w:r>
      <w:r w:rsidR="008C5548">
        <w:rPr>
          <w:sz w:val="24"/>
          <w:szCs w:val="24"/>
          <w:lang w:val="bg-BG"/>
        </w:rPr>
        <w:t>;</w:t>
      </w:r>
    </w:p>
    <w:p w:rsidR="00920E35" w:rsidRDefault="003624C3" w:rsidP="000030A1">
      <w:pPr>
        <w:pStyle w:val="ListParagraph"/>
        <w:numPr>
          <w:ilvl w:val="0"/>
          <w:numId w:val="14"/>
        </w:numPr>
        <w:spacing w:line="360" w:lineRule="auto"/>
        <w:jc w:val="both"/>
        <w:rPr>
          <w:sz w:val="24"/>
          <w:szCs w:val="24"/>
          <w:lang w:val="en-US"/>
        </w:rPr>
      </w:pPr>
      <w:r w:rsidRPr="000030A1">
        <w:rPr>
          <w:sz w:val="24"/>
          <w:szCs w:val="24"/>
          <w:lang w:val="en-US"/>
        </w:rPr>
        <w:t>enhance the capabilities of the CACIAF staff in conducting anti-corruption investigations and for tracing</w:t>
      </w:r>
      <w:r w:rsidR="008C5548">
        <w:rPr>
          <w:sz w:val="24"/>
          <w:szCs w:val="24"/>
          <w:lang w:val="en-US"/>
        </w:rPr>
        <w:t xml:space="preserve"> assets from criminal activity;</w:t>
      </w:r>
    </w:p>
    <w:p w:rsidR="0065709C" w:rsidRDefault="0065709C" w:rsidP="0065709C">
      <w:pPr>
        <w:spacing w:line="360" w:lineRule="auto"/>
        <w:jc w:val="both"/>
        <w:rPr>
          <w:sz w:val="24"/>
          <w:szCs w:val="24"/>
          <w:lang w:val="en-US"/>
        </w:rPr>
      </w:pPr>
    </w:p>
    <w:p w:rsidR="0065709C" w:rsidRPr="0065709C" w:rsidRDefault="0065709C" w:rsidP="0065709C">
      <w:pPr>
        <w:spacing w:line="360" w:lineRule="auto"/>
        <w:jc w:val="both"/>
        <w:rPr>
          <w:sz w:val="24"/>
          <w:szCs w:val="24"/>
          <w:lang w:val="en-US"/>
        </w:rPr>
      </w:pPr>
    </w:p>
    <w:p w:rsidR="00626920" w:rsidRPr="000030A1" w:rsidRDefault="003624C3" w:rsidP="000030A1">
      <w:pPr>
        <w:pStyle w:val="ListParagraph"/>
        <w:numPr>
          <w:ilvl w:val="0"/>
          <w:numId w:val="14"/>
        </w:numPr>
        <w:spacing w:line="360" w:lineRule="auto"/>
        <w:jc w:val="both"/>
        <w:rPr>
          <w:sz w:val="24"/>
          <w:szCs w:val="24"/>
          <w:lang w:val="en-US"/>
        </w:rPr>
      </w:pPr>
      <w:r w:rsidRPr="000030A1">
        <w:rPr>
          <w:sz w:val="24"/>
          <w:szCs w:val="24"/>
          <w:lang w:val="en-US"/>
        </w:rPr>
        <w:t xml:space="preserve">contribute to the development of the CACIAF contacts with international networks of partner </w:t>
      </w:r>
      <w:r w:rsidR="00CE16B5" w:rsidRPr="000030A1">
        <w:rPr>
          <w:sz w:val="24"/>
          <w:szCs w:val="24"/>
          <w:lang w:val="en-US"/>
        </w:rPr>
        <w:t xml:space="preserve">services in order to </w:t>
      </w:r>
      <w:r w:rsidR="00626920" w:rsidRPr="000030A1">
        <w:rPr>
          <w:sz w:val="24"/>
          <w:szCs w:val="24"/>
          <w:lang w:val="en-US"/>
        </w:rPr>
        <w:t xml:space="preserve">carry out seizures </w:t>
      </w:r>
      <w:r w:rsidR="00CE16B5" w:rsidRPr="000030A1">
        <w:rPr>
          <w:sz w:val="24"/>
          <w:szCs w:val="24"/>
          <w:lang w:val="en-US"/>
        </w:rPr>
        <w:t>abroad</w:t>
      </w:r>
      <w:r w:rsidR="00626920" w:rsidRPr="000030A1">
        <w:rPr>
          <w:sz w:val="24"/>
          <w:szCs w:val="24"/>
          <w:lang w:val="en-US"/>
        </w:rPr>
        <w:t xml:space="preserve"> and to part</w:t>
      </w:r>
      <w:r w:rsidR="00CE16B5" w:rsidRPr="000030A1">
        <w:rPr>
          <w:sz w:val="24"/>
          <w:szCs w:val="24"/>
          <w:lang w:val="en-US"/>
        </w:rPr>
        <w:t>icipate</w:t>
      </w:r>
      <w:r w:rsidR="00626920" w:rsidRPr="000030A1">
        <w:rPr>
          <w:sz w:val="24"/>
          <w:szCs w:val="24"/>
          <w:lang w:val="en-US"/>
        </w:rPr>
        <w:t xml:space="preserve"> in </w:t>
      </w:r>
      <w:r w:rsidR="00CE16B5" w:rsidRPr="000030A1">
        <w:rPr>
          <w:sz w:val="24"/>
          <w:szCs w:val="24"/>
          <w:lang w:val="en-US"/>
        </w:rPr>
        <w:t>joint</w:t>
      </w:r>
      <w:r w:rsidR="00626920" w:rsidRPr="000030A1">
        <w:rPr>
          <w:sz w:val="24"/>
          <w:szCs w:val="24"/>
          <w:lang w:val="en-US"/>
        </w:rPr>
        <w:t xml:space="preserve"> teams for inve</w:t>
      </w:r>
      <w:r w:rsidR="008C5548">
        <w:rPr>
          <w:sz w:val="24"/>
          <w:szCs w:val="24"/>
          <w:lang w:val="en-US"/>
        </w:rPr>
        <w:t>stigation of cross-border cases</w:t>
      </w:r>
      <w:r w:rsidR="008C5548">
        <w:rPr>
          <w:sz w:val="24"/>
          <w:szCs w:val="24"/>
          <w:lang w:val="bg-BG"/>
        </w:rPr>
        <w:t>;</w:t>
      </w:r>
    </w:p>
    <w:p w:rsidR="00626920" w:rsidRPr="000030A1" w:rsidRDefault="00626920" w:rsidP="000030A1">
      <w:pPr>
        <w:pStyle w:val="ListParagraph"/>
        <w:numPr>
          <w:ilvl w:val="0"/>
          <w:numId w:val="14"/>
        </w:numPr>
        <w:spacing w:line="360" w:lineRule="auto"/>
        <w:jc w:val="both"/>
        <w:rPr>
          <w:sz w:val="24"/>
          <w:szCs w:val="24"/>
          <w:lang w:val="en-US"/>
        </w:rPr>
      </w:pPr>
      <w:r w:rsidRPr="000030A1">
        <w:rPr>
          <w:sz w:val="24"/>
          <w:szCs w:val="24"/>
          <w:lang w:val="en-US"/>
        </w:rPr>
        <w:t xml:space="preserve">give CACIAF the opportunity to effectively carry out bilateral cooperation with foreign authorities, by seizing assets on the behalf of the partner </w:t>
      </w:r>
      <w:r w:rsidR="00CE16B5" w:rsidRPr="000030A1">
        <w:rPr>
          <w:sz w:val="24"/>
          <w:szCs w:val="24"/>
          <w:lang w:val="en-US"/>
        </w:rPr>
        <w:t>services</w:t>
      </w:r>
      <w:r w:rsidR="008C5548">
        <w:rPr>
          <w:sz w:val="24"/>
          <w:szCs w:val="24"/>
          <w:lang w:val="bg-BG"/>
        </w:rPr>
        <w:t>;</w:t>
      </w:r>
      <w:bookmarkStart w:id="0" w:name="_GoBack"/>
      <w:bookmarkEnd w:id="0"/>
      <w:r w:rsidRPr="000030A1">
        <w:rPr>
          <w:sz w:val="24"/>
          <w:szCs w:val="24"/>
          <w:lang w:val="en-US"/>
        </w:rPr>
        <w:t xml:space="preserve"> </w:t>
      </w:r>
    </w:p>
    <w:p w:rsidR="00626920" w:rsidRPr="000030A1" w:rsidRDefault="00626920" w:rsidP="000030A1">
      <w:pPr>
        <w:pStyle w:val="ListParagraph"/>
        <w:numPr>
          <w:ilvl w:val="0"/>
          <w:numId w:val="14"/>
        </w:numPr>
        <w:spacing w:line="360" w:lineRule="auto"/>
        <w:jc w:val="both"/>
        <w:rPr>
          <w:sz w:val="24"/>
          <w:szCs w:val="24"/>
          <w:lang w:val="en-US"/>
        </w:rPr>
      </w:pPr>
      <w:proofErr w:type="gramStart"/>
      <w:r w:rsidRPr="000030A1">
        <w:rPr>
          <w:sz w:val="24"/>
          <w:szCs w:val="24"/>
          <w:lang w:val="en-US"/>
        </w:rPr>
        <w:t>improve</w:t>
      </w:r>
      <w:proofErr w:type="gramEnd"/>
      <w:r w:rsidRPr="000030A1">
        <w:rPr>
          <w:sz w:val="24"/>
          <w:szCs w:val="24"/>
          <w:lang w:val="en-US"/>
        </w:rPr>
        <w:t xml:space="preserve"> the information infrastructure of the CACIAF.</w:t>
      </w:r>
    </w:p>
    <w:p w:rsidR="000030A1" w:rsidRDefault="000030A1" w:rsidP="000030A1">
      <w:pPr>
        <w:pStyle w:val="standard"/>
        <w:spacing w:line="360" w:lineRule="auto"/>
        <w:rPr>
          <w:rFonts w:ascii="Times New Roman" w:hAnsi="Times New Roman"/>
          <w:sz w:val="24"/>
          <w:szCs w:val="24"/>
          <w:lang w:val="en-US"/>
        </w:rPr>
      </w:pPr>
    </w:p>
    <w:p w:rsidR="00626920" w:rsidRPr="00206B90" w:rsidRDefault="00D41E85" w:rsidP="000030A1">
      <w:pPr>
        <w:pStyle w:val="standard"/>
        <w:spacing w:line="360" w:lineRule="auto"/>
        <w:rPr>
          <w:rFonts w:ascii="Times New Roman" w:hAnsi="Times New Roman"/>
          <w:sz w:val="24"/>
          <w:szCs w:val="24"/>
          <w:lang w:val="en-US"/>
        </w:rPr>
      </w:pPr>
      <w:r w:rsidRPr="00206B90">
        <w:rPr>
          <w:rFonts w:ascii="Times New Roman" w:hAnsi="Times New Roman"/>
          <w:sz w:val="24"/>
          <w:szCs w:val="24"/>
          <w:lang w:val="en-US"/>
        </w:rPr>
        <w:t xml:space="preserve">The expected result from the implementation of the Project is the </w:t>
      </w:r>
      <w:r w:rsidR="00206B90" w:rsidRPr="00206B90">
        <w:rPr>
          <w:rFonts w:ascii="Times New Roman" w:hAnsi="Times New Roman"/>
          <w:sz w:val="24"/>
          <w:szCs w:val="24"/>
          <w:lang w:val="en-US"/>
        </w:rPr>
        <w:t xml:space="preserve">enhancement of the capacity of the Bulgarian authorities in combating economic crime and corruption, through carrying out specialized trainings for the authorities in Bulgaria in recovery and management of assets from criminal activity and countering corruption, as well as </w:t>
      </w:r>
      <w:r w:rsidR="000030A1" w:rsidRPr="000030A1">
        <w:rPr>
          <w:rFonts w:ascii="Times New Roman" w:hAnsi="Times New Roman"/>
          <w:sz w:val="24"/>
          <w:szCs w:val="24"/>
          <w:lang w:val="en-US"/>
        </w:rPr>
        <w:t xml:space="preserve">modernization </w:t>
      </w:r>
      <w:r w:rsidR="000030A1">
        <w:rPr>
          <w:rFonts w:ascii="Times New Roman" w:hAnsi="Times New Roman"/>
          <w:sz w:val="24"/>
          <w:szCs w:val="24"/>
          <w:lang w:val="en-US"/>
        </w:rPr>
        <w:t xml:space="preserve">of </w:t>
      </w:r>
      <w:r w:rsidR="00206B90" w:rsidRPr="00206B90">
        <w:rPr>
          <w:rFonts w:ascii="Times New Roman" w:hAnsi="Times New Roman"/>
          <w:sz w:val="24"/>
          <w:szCs w:val="24"/>
          <w:lang w:val="en-US"/>
        </w:rPr>
        <w:t>the informational infrastructure of the CACIAF.</w:t>
      </w:r>
    </w:p>
    <w:p w:rsidR="00D47D35" w:rsidRDefault="00D47D35" w:rsidP="000030A1">
      <w:pPr>
        <w:spacing w:line="360" w:lineRule="auto"/>
        <w:jc w:val="both"/>
        <w:rPr>
          <w:rFonts w:eastAsia="Calibri"/>
          <w:sz w:val="24"/>
          <w:szCs w:val="24"/>
          <w:lang w:val="en-US"/>
        </w:rPr>
      </w:pPr>
    </w:p>
    <w:sectPr w:rsidR="00D47D35" w:rsidSect="00A55ACA">
      <w:headerReference w:type="even" r:id="rId9"/>
      <w:headerReference w:type="default" r:id="rId10"/>
      <w:footerReference w:type="even" r:id="rId11"/>
      <w:footerReference w:type="default" r:id="rId12"/>
      <w:headerReference w:type="first" r:id="rId13"/>
      <w:footerReference w:type="first" r:id="rId14"/>
      <w:pgSz w:w="11907" w:h="16839" w:code="9"/>
      <w:pgMar w:top="2380" w:right="1417"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60" w:rsidRDefault="00864460" w:rsidP="00F85473">
      <w:r>
        <w:separator/>
      </w:r>
    </w:p>
  </w:endnote>
  <w:endnote w:type="continuationSeparator" w:id="0">
    <w:p w:rsidR="00864460" w:rsidRDefault="00864460" w:rsidP="00F8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ounders grotes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62" w:rsidRDefault="00084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5E" w:rsidRPr="005663BE" w:rsidRDefault="005663BE" w:rsidP="0067358C">
    <w:pPr>
      <w:tabs>
        <w:tab w:val="left" w:pos="851"/>
        <w:tab w:val="left" w:pos="2835"/>
        <w:tab w:val="left" w:pos="3969"/>
        <w:tab w:val="left" w:pos="5387"/>
        <w:tab w:val="left" w:pos="6946"/>
        <w:tab w:val="left" w:pos="7230"/>
        <w:tab w:val="left" w:pos="8789"/>
      </w:tabs>
      <w:ind w:left="-284" w:right="-22"/>
      <w:jc w:val="center"/>
      <w:rPr>
        <w:sz w:val="16"/>
        <w:szCs w:val="16"/>
        <w:lang w:val="en-US"/>
      </w:rPr>
    </w:pPr>
    <w:r>
      <w:rPr>
        <w:rFonts w:ascii="Founders grotesk" w:hAnsi="Founders grotesk"/>
        <w:i/>
        <w:color w:val="000000" w:themeColor="text1"/>
        <w:sz w:val="16"/>
        <w:szCs w:val="16"/>
        <w:lang w:val="en-US"/>
      </w:rPr>
      <w:t>This document is created in regards to the implementation of “</w:t>
    </w:r>
    <w:r w:rsidRPr="005663BE">
      <w:rPr>
        <w:rFonts w:ascii="Founders grotesk" w:hAnsi="Founders grotesk"/>
        <w:i/>
        <w:color w:val="000000" w:themeColor="text1"/>
        <w:sz w:val="16"/>
        <w:szCs w:val="16"/>
        <w:lang w:val="en-US"/>
      </w:rPr>
      <w:t>Enhanced Capacities of Bulgarian Authorities to Recover and Manage Criminal Assets</w:t>
    </w:r>
    <w:proofErr w:type="gramStart"/>
    <w:r w:rsidR="004D3E5B" w:rsidRPr="005663BE">
      <w:rPr>
        <w:rFonts w:ascii="Founders grotesk" w:hAnsi="Founders grotesk"/>
        <w:i/>
        <w:color w:val="000000" w:themeColor="text1"/>
        <w:sz w:val="16"/>
        <w:szCs w:val="16"/>
        <w:lang w:val="en-US"/>
      </w:rPr>
      <w:t>“</w:t>
    </w:r>
    <w:r w:rsidR="004D3E5B">
      <w:rPr>
        <w:rFonts w:ascii="Founders grotesk" w:hAnsi="Founders grotesk"/>
        <w:i/>
        <w:color w:val="000000" w:themeColor="text1"/>
        <w:sz w:val="16"/>
        <w:szCs w:val="16"/>
        <w:lang w:val="en-US"/>
      </w:rPr>
      <w:t xml:space="preserve"> Project</w:t>
    </w:r>
    <w:proofErr w:type="gramEnd"/>
    <w:r>
      <w:rPr>
        <w:rFonts w:ascii="Founders grotesk" w:hAnsi="Founders grotesk"/>
        <w:i/>
        <w:color w:val="000000" w:themeColor="text1"/>
        <w:sz w:val="16"/>
        <w:szCs w:val="16"/>
        <w:lang w:val="en-US"/>
      </w:rPr>
      <w:t xml:space="preserve">, financed by the “Internal Affairs” Program of the Norwegian Financial Mechanism 2014-2021, according to grant contract  </w:t>
    </w:r>
    <w:r w:rsidR="006E3B91" w:rsidRPr="0067358C">
      <w:rPr>
        <w:rFonts w:ascii="Founders grotesk" w:hAnsi="Founders grotesk"/>
        <w:i/>
        <w:color w:val="000000" w:themeColor="text1"/>
        <w:sz w:val="16"/>
        <w:szCs w:val="16"/>
        <w:lang w:val="bg-BG"/>
      </w:rPr>
      <w:t>№</w:t>
    </w:r>
    <w:r w:rsidR="006E3B91" w:rsidRPr="0067358C">
      <w:rPr>
        <w:rFonts w:ascii="Founders grotesk" w:hAnsi="Founders grotesk"/>
        <w:i/>
        <w:color w:val="000000" w:themeColor="text1"/>
        <w:sz w:val="16"/>
        <w:szCs w:val="16"/>
        <w:lang w:val="en-US"/>
      </w:rPr>
      <w:t xml:space="preserve"> </w:t>
    </w:r>
    <w:r w:rsidR="006E3B91" w:rsidRPr="0067358C">
      <w:rPr>
        <w:rFonts w:ascii="Founders grotesk" w:hAnsi="Founders grotesk"/>
        <w:i/>
        <w:color w:val="000000" w:themeColor="text1"/>
        <w:sz w:val="16"/>
        <w:szCs w:val="16"/>
        <w:lang w:val="bg-BG"/>
      </w:rPr>
      <w:t>BGHOMEAFFAIRS-4.004-0001-C01/</w:t>
    </w:r>
    <w:r w:rsidR="006E3B91" w:rsidRPr="0067358C">
      <w:rPr>
        <w:rFonts w:ascii="Founders grotesk" w:hAnsi="Founders grotesk"/>
        <w:i/>
        <w:color w:val="000000" w:themeColor="text1"/>
        <w:sz w:val="16"/>
        <w:szCs w:val="16"/>
        <w:lang w:val="en-US"/>
      </w:rPr>
      <w:t>22</w:t>
    </w:r>
    <w:r>
      <w:rPr>
        <w:rFonts w:ascii="Founders grotesk" w:hAnsi="Founders grotesk"/>
        <w:i/>
        <w:color w:val="000000" w:themeColor="text1"/>
        <w:sz w:val="16"/>
        <w:szCs w:val="16"/>
        <w:lang w:val="bg-BG"/>
      </w:rPr>
      <w:t xml:space="preserve">.07.2020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62" w:rsidRDefault="000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60" w:rsidRDefault="00864460" w:rsidP="00F85473">
      <w:r>
        <w:separator/>
      </w:r>
    </w:p>
  </w:footnote>
  <w:footnote w:type="continuationSeparator" w:id="0">
    <w:p w:rsidR="00864460" w:rsidRDefault="00864460" w:rsidP="00F85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62" w:rsidRDefault="00084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EC" w:rsidRPr="00481EF3" w:rsidRDefault="00E61AEC" w:rsidP="00201CA6">
    <w:pPr>
      <w:framePr w:w="6850" w:h="1256" w:hRule="exact" w:hSpace="141" w:wrap="around" w:vAnchor="page" w:hAnchor="page" w:x="2659" w:y="1039"/>
      <w:pBdr>
        <w:bottom w:val="single" w:sz="6" w:space="1" w:color="auto"/>
      </w:pBdr>
      <w:tabs>
        <w:tab w:val="center" w:pos="4153"/>
        <w:tab w:val="right" w:pos="8306"/>
      </w:tabs>
      <w:jc w:val="center"/>
      <w:rPr>
        <w:b/>
        <w:sz w:val="18"/>
        <w:szCs w:val="18"/>
        <w:lang w:val="bg-BG"/>
      </w:rPr>
    </w:pPr>
  </w:p>
  <w:p w:rsidR="00912F2D" w:rsidRPr="00710CF2" w:rsidRDefault="00912F2D" w:rsidP="00201CA6">
    <w:pPr>
      <w:keepNext/>
      <w:framePr w:w="6850" w:h="1256" w:hRule="exact" w:hSpace="141" w:wrap="around" w:vAnchor="page" w:hAnchor="page" w:x="2659" w:y="1039"/>
      <w:pBdr>
        <w:bottom w:val="single" w:sz="6" w:space="1" w:color="auto"/>
      </w:pBdr>
      <w:jc w:val="center"/>
      <w:outlineLvl w:val="3"/>
      <w:rPr>
        <w:b/>
        <w:sz w:val="24"/>
        <w:szCs w:val="18"/>
      </w:rPr>
    </w:pPr>
    <w:r w:rsidRPr="00710CF2">
      <w:rPr>
        <w:b/>
        <w:sz w:val="24"/>
        <w:szCs w:val="18"/>
      </w:rPr>
      <w:t>COMMISSION FOR ANTI-CORRUPTION AND</w:t>
    </w:r>
  </w:p>
  <w:p w:rsidR="00E61AEC" w:rsidRPr="00710CF2" w:rsidRDefault="00912F2D" w:rsidP="00201CA6">
    <w:pPr>
      <w:keepNext/>
      <w:framePr w:w="6850" w:h="1256" w:hRule="exact" w:hSpace="141" w:wrap="around" w:vAnchor="page" w:hAnchor="page" w:x="2659" w:y="1039"/>
      <w:pBdr>
        <w:bottom w:val="single" w:sz="6" w:space="1" w:color="auto"/>
      </w:pBdr>
      <w:jc w:val="center"/>
      <w:outlineLvl w:val="3"/>
      <w:rPr>
        <w:b/>
        <w:noProof/>
        <w:sz w:val="24"/>
        <w:szCs w:val="18"/>
      </w:rPr>
    </w:pPr>
    <w:r w:rsidRPr="00710CF2">
      <w:rPr>
        <w:b/>
        <w:sz w:val="24"/>
        <w:szCs w:val="18"/>
      </w:rPr>
      <w:t xml:space="preserve"> ILLEGAL ASSETS FORFEITURE</w:t>
    </w:r>
  </w:p>
  <w:p w:rsidR="00201CA6" w:rsidRDefault="00201CA6" w:rsidP="00201CA6">
    <w:pPr>
      <w:keepNext/>
      <w:framePr w:w="6850" w:h="1256" w:hRule="exact" w:hSpace="141" w:wrap="around" w:vAnchor="page" w:hAnchor="page" w:x="2659" w:y="1039"/>
      <w:pBdr>
        <w:bottom w:val="single" w:sz="6" w:space="1" w:color="auto"/>
      </w:pBdr>
      <w:jc w:val="center"/>
      <w:outlineLvl w:val="3"/>
      <w:rPr>
        <w:b/>
        <w:noProof/>
        <w:sz w:val="18"/>
        <w:szCs w:val="18"/>
      </w:rPr>
    </w:pPr>
  </w:p>
  <w:p w:rsidR="00201CA6" w:rsidRPr="00B56849" w:rsidRDefault="00084962" w:rsidP="00201CA6">
    <w:pPr>
      <w:keepNext/>
      <w:framePr w:w="6850" w:h="1256" w:hRule="exact" w:hSpace="141" w:wrap="around" w:vAnchor="page" w:hAnchor="page" w:x="2659" w:y="1039"/>
      <w:pBdr>
        <w:bottom w:val="single" w:sz="6" w:space="1" w:color="auto"/>
      </w:pBdr>
      <w:jc w:val="center"/>
      <w:outlineLvl w:val="3"/>
      <w:rPr>
        <w:b/>
        <w:noProof/>
        <w:sz w:val="14"/>
        <w:szCs w:val="14"/>
      </w:rPr>
    </w:pPr>
    <w:r>
      <w:rPr>
        <w:rFonts w:cs="Tahoma"/>
        <w:b/>
        <w:bCs/>
        <w:i/>
        <w:iCs/>
        <w:sz w:val="14"/>
        <w:szCs w:val="14"/>
      </w:rPr>
      <w:t xml:space="preserve">6, </w:t>
    </w:r>
    <w:r w:rsidR="00912F2D">
      <w:rPr>
        <w:rFonts w:cs="Tahoma"/>
        <w:b/>
        <w:bCs/>
        <w:i/>
        <w:iCs/>
        <w:sz w:val="14"/>
        <w:szCs w:val="14"/>
      </w:rPr>
      <w:t>S</w:t>
    </w:r>
    <w:r>
      <w:rPr>
        <w:rFonts w:cs="Tahoma"/>
        <w:b/>
        <w:bCs/>
        <w:i/>
        <w:iCs/>
        <w:sz w:val="14"/>
        <w:szCs w:val="14"/>
      </w:rPr>
      <w:t>veta</w:t>
    </w:r>
    <w:r w:rsidR="00912F2D">
      <w:rPr>
        <w:rFonts w:cs="Tahoma"/>
        <w:b/>
        <w:bCs/>
        <w:i/>
        <w:iCs/>
        <w:sz w:val="14"/>
        <w:szCs w:val="14"/>
      </w:rPr>
      <w:t xml:space="preserve"> </w:t>
    </w:r>
    <w:proofErr w:type="spellStart"/>
    <w:r w:rsidR="00912F2D">
      <w:rPr>
        <w:rFonts w:cs="Tahoma"/>
        <w:b/>
        <w:bCs/>
        <w:i/>
        <w:iCs/>
        <w:sz w:val="14"/>
        <w:szCs w:val="14"/>
      </w:rPr>
      <w:t>Nedelya</w:t>
    </w:r>
    <w:proofErr w:type="spellEnd"/>
    <w:r>
      <w:rPr>
        <w:rFonts w:cs="Tahoma"/>
        <w:b/>
        <w:bCs/>
        <w:i/>
        <w:iCs/>
        <w:sz w:val="14"/>
        <w:szCs w:val="14"/>
      </w:rPr>
      <w:t xml:space="preserve"> </w:t>
    </w:r>
    <w:proofErr w:type="spellStart"/>
    <w:r>
      <w:rPr>
        <w:rFonts w:cs="Tahoma"/>
        <w:b/>
        <w:bCs/>
        <w:i/>
        <w:iCs/>
        <w:sz w:val="14"/>
        <w:szCs w:val="14"/>
      </w:rPr>
      <w:t>Sq</w:t>
    </w:r>
    <w:proofErr w:type="spellEnd"/>
    <w:r w:rsidR="00912F2D">
      <w:rPr>
        <w:rFonts w:cs="Tahoma"/>
        <w:b/>
        <w:bCs/>
        <w:i/>
        <w:iCs/>
        <w:sz w:val="14"/>
        <w:szCs w:val="14"/>
      </w:rPr>
      <w:t>,</w:t>
    </w:r>
    <w:r w:rsidR="00912F2D" w:rsidRPr="00912F2D">
      <w:rPr>
        <w:rFonts w:cs="Tahoma"/>
        <w:b/>
        <w:bCs/>
        <w:i/>
        <w:iCs/>
        <w:sz w:val="14"/>
        <w:szCs w:val="14"/>
      </w:rPr>
      <w:t xml:space="preserve"> </w:t>
    </w:r>
    <w:r w:rsidR="00912F2D">
      <w:rPr>
        <w:rFonts w:cs="Tahoma"/>
        <w:b/>
        <w:bCs/>
        <w:i/>
        <w:iCs/>
        <w:sz w:val="14"/>
        <w:szCs w:val="14"/>
      </w:rPr>
      <w:t>Sofia 1000,</w:t>
    </w:r>
    <w:r w:rsidR="00201CA6" w:rsidRPr="00B56849">
      <w:rPr>
        <w:rFonts w:cs="Tahoma"/>
        <w:b/>
        <w:bCs/>
        <w:i/>
        <w:iCs/>
        <w:sz w:val="14"/>
        <w:szCs w:val="14"/>
      </w:rPr>
      <w:t xml:space="preserve"> </w:t>
    </w:r>
    <w:proofErr w:type="spellStart"/>
    <w:r w:rsidR="00912F2D">
      <w:rPr>
        <w:rFonts w:cs="Tahoma"/>
        <w:b/>
        <w:bCs/>
        <w:i/>
        <w:iCs/>
        <w:sz w:val="14"/>
        <w:szCs w:val="14"/>
      </w:rPr>
      <w:t>tel</w:t>
    </w:r>
    <w:proofErr w:type="spellEnd"/>
    <w:r w:rsidR="00201CA6" w:rsidRPr="00B56849">
      <w:rPr>
        <w:rFonts w:cs="Tahoma"/>
        <w:b/>
        <w:bCs/>
        <w:i/>
        <w:iCs/>
        <w:sz w:val="14"/>
        <w:szCs w:val="14"/>
      </w:rPr>
      <w:t xml:space="preserve">: (+359 2) 940 14 44, </w:t>
    </w:r>
    <w:r w:rsidR="00912F2D">
      <w:rPr>
        <w:rFonts w:cs="Tahoma"/>
        <w:b/>
        <w:bCs/>
        <w:i/>
        <w:iCs/>
        <w:sz w:val="14"/>
        <w:szCs w:val="14"/>
      </w:rPr>
      <w:t>fax</w:t>
    </w:r>
    <w:r w:rsidR="00201CA6" w:rsidRPr="00B56849">
      <w:rPr>
        <w:rFonts w:cs="Tahoma"/>
        <w:b/>
        <w:bCs/>
        <w:i/>
        <w:iCs/>
        <w:sz w:val="14"/>
        <w:szCs w:val="14"/>
      </w:rPr>
      <w:t>: (+359 2) 940 15 95</w:t>
    </w:r>
  </w:p>
  <w:p w:rsidR="00201CA6" w:rsidRPr="00481EF3" w:rsidRDefault="00201CA6" w:rsidP="00201CA6">
    <w:pPr>
      <w:keepNext/>
      <w:framePr w:w="6850" w:h="1256" w:hRule="exact" w:hSpace="141" w:wrap="around" w:vAnchor="page" w:hAnchor="page" w:x="2659" w:y="1039"/>
      <w:pBdr>
        <w:bottom w:val="single" w:sz="6" w:space="1" w:color="auto"/>
      </w:pBdr>
      <w:jc w:val="center"/>
      <w:outlineLvl w:val="3"/>
      <w:rPr>
        <w:b/>
        <w:noProof/>
        <w:sz w:val="18"/>
        <w:szCs w:val="18"/>
      </w:rPr>
    </w:pPr>
  </w:p>
  <w:p w:rsidR="00E61AEC" w:rsidRPr="00E61AEC" w:rsidRDefault="00E61AEC" w:rsidP="00201CA6">
    <w:pPr>
      <w:keepNext/>
      <w:framePr w:w="6850" w:h="1256" w:hRule="exact" w:hSpace="141" w:wrap="around" w:vAnchor="page" w:hAnchor="page" w:x="2659" w:y="1039"/>
      <w:pBdr>
        <w:bottom w:val="single" w:sz="6" w:space="1" w:color="auto"/>
      </w:pBdr>
      <w:spacing w:before="100" w:beforeAutospacing="1" w:after="100" w:afterAutospacing="1"/>
      <w:outlineLvl w:val="3"/>
      <w:rPr>
        <w:b/>
        <w:lang w:val="en-US"/>
      </w:rPr>
    </w:pPr>
    <w:r w:rsidRPr="00E61AEC">
      <w:rPr>
        <w:rFonts w:cs="Tahoma"/>
        <w:b/>
        <w:bCs/>
        <w:i/>
        <w:iCs/>
      </w:rPr>
      <w:t xml:space="preserve"> </w:t>
    </w:r>
  </w:p>
  <w:p w:rsidR="00E61AEC" w:rsidRPr="005A3F31" w:rsidRDefault="00E61AEC" w:rsidP="00201CA6">
    <w:pPr>
      <w:framePr w:w="6850" w:h="1256" w:hRule="exact" w:hSpace="141" w:wrap="around" w:vAnchor="page" w:hAnchor="page" w:x="2659" w:y="1039"/>
      <w:pBdr>
        <w:bottom w:val="single" w:sz="6" w:space="1" w:color="auto"/>
      </w:pBdr>
      <w:tabs>
        <w:tab w:val="center" w:pos="4153"/>
        <w:tab w:val="right" w:pos="8306"/>
      </w:tabs>
      <w:jc w:val="center"/>
      <w:rPr>
        <w:b/>
        <w:noProof/>
        <w:sz w:val="16"/>
        <w:szCs w:val="16"/>
      </w:rPr>
    </w:pPr>
  </w:p>
  <w:p w:rsidR="00F85473" w:rsidRDefault="005458C0" w:rsidP="005A3F31">
    <w:pPr>
      <w:pStyle w:val="Header"/>
      <w:tabs>
        <w:tab w:val="clear" w:pos="9072"/>
        <w:tab w:val="left" w:pos="5391"/>
        <w:tab w:val="right" w:pos="9923"/>
      </w:tabs>
      <w:ind w:left="-142" w:hanging="1134"/>
      <w:rPr>
        <w:noProof/>
        <w:lang w:eastAsia="bg-BG"/>
      </w:rPr>
    </w:pPr>
    <w:r>
      <w:rPr>
        <w:noProof/>
        <w:lang w:eastAsia="bg-BG"/>
      </w:rPr>
      <w:tab/>
    </w:r>
    <w:r>
      <w:rPr>
        <w:noProof/>
        <w:lang w:val="bg-BG" w:eastAsia="bg-BG"/>
      </w:rPr>
      <w:drawing>
        <wp:inline distT="0" distB="0" distL="0" distR="0" wp14:anchorId="113717FE" wp14:editId="09A02F3D">
          <wp:extent cx="885825" cy="9663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66355"/>
                  </a:xfrm>
                  <a:prstGeom prst="rect">
                    <a:avLst/>
                  </a:prstGeom>
                  <a:noFill/>
                </pic:spPr>
              </pic:pic>
            </a:graphicData>
          </a:graphic>
        </wp:inline>
      </w:drawing>
    </w:r>
    <w:r w:rsidR="0038614E">
      <w:rPr>
        <w:noProof/>
        <w:lang w:eastAsia="bg-BG"/>
      </w:rPr>
      <w:tab/>
    </w:r>
    <w:r w:rsidR="00B50872">
      <w:rPr>
        <w:noProof/>
        <w:lang w:eastAsia="bg-BG"/>
      </w:rPr>
      <w:tab/>
    </w:r>
    <w:r w:rsidR="00B50872">
      <w:rPr>
        <w:noProof/>
        <w:lang w:eastAsia="bg-BG"/>
      </w:rPr>
      <w:tab/>
    </w:r>
    <w:r>
      <w:rPr>
        <w:noProof/>
        <w:lang w:eastAsia="bg-BG"/>
      </w:rPr>
      <w:t xml:space="preserve"> </w:t>
    </w:r>
    <w:r w:rsidR="00CD4222">
      <w:rPr>
        <w:noProof/>
        <w:lang w:val="bg-BG" w:eastAsia="bg-BG"/>
      </w:rPr>
      <w:drawing>
        <wp:inline distT="0" distB="0" distL="0" distR="0">
          <wp:extent cx="910835" cy="914964"/>
          <wp:effectExtent l="0" t="0" r="3810" b="0"/>
          <wp:docPr id="2" name="Picture 2" descr="D:\MyDoc\disk D\Novo logo\logo_black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Doc\disk D\Novo logo\logo_black_e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087" cy="92425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62" w:rsidRDefault="00084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F17"/>
    <w:multiLevelType w:val="hybridMultilevel"/>
    <w:tmpl w:val="173EE8CA"/>
    <w:lvl w:ilvl="0" w:tplc="EA8A5B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864C8"/>
    <w:multiLevelType w:val="hybridMultilevel"/>
    <w:tmpl w:val="CA2C75A6"/>
    <w:lvl w:ilvl="0" w:tplc="52863D5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6C4784D"/>
    <w:multiLevelType w:val="hybridMultilevel"/>
    <w:tmpl w:val="D7EADCC0"/>
    <w:lvl w:ilvl="0" w:tplc="52863D5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C7D68DA"/>
    <w:multiLevelType w:val="hybridMultilevel"/>
    <w:tmpl w:val="99A6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4264F"/>
    <w:multiLevelType w:val="hybridMultilevel"/>
    <w:tmpl w:val="D8666A48"/>
    <w:lvl w:ilvl="0" w:tplc="B9740D70">
      <w:start w:val="3"/>
      <w:numFmt w:val="bullet"/>
      <w:lvlText w:val=""/>
      <w:lvlJc w:val="left"/>
      <w:pPr>
        <w:ind w:left="720" w:hanging="360"/>
      </w:pPr>
      <w:rPr>
        <w:rFonts w:ascii="Symbol" w:eastAsia="Times New Roman" w:hAnsi="Symbol" w:cs="Times New Roman" w:hint="default"/>
        <w:b/>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DEA6BB0"/>
    <w:multiLevelType w:val="hybridMultilevel"/>
    <w:tmpl w:val="CB4E1B16"/>
    <w:lvl w:ilvl="0" w:tplc="8090865E">
      <w:start w:val="1"/>
      <w:numFmt w:val="decimal"/>
      <w:lvlText w:val="%1."/>
      <w:lvlJc w:val="left"/>
      <w:pPr>
        <w:tabs>
          <w:tab w:val="num" w:pos="540"/>
        </w:tabs>
        <w:ind w:left="540" w:hanging="360"/>
      </w:pPr>
      <w:rPr>
        <w:rFonts w:hint="default"/>
        <w:i w:val="0"/>
        <w:sz w:val="22"/>
        <w:szCs w:val="22"/>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407749A3"/>
    <w:multiLevelType w:val="hybridMultilevel"/>
    <w:tmpl w:val="76783E18"/>
    <w:lvl w:ilvl="0" w:tplc="4D30B80E">
      <w:start w:val="1"/>
      <w:numFmt w:val="decimal"/>
      <w:pStyle w:val="MER-Heading3"/>
      <w:lvlText w:val="%1.2."/>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64CC0"/>
    <w:multiLevelType w:val="hybridMultilevel"/>
    <w:tmpl w:val="34309A4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77ECD"/>
    <w:multiLevelType w:val="hybridMultilevel"/>
    <w:tmpl w:val="70C23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53963"/>
    <w:multiLevelType w:val="hybridMultilevel"/>
    <w:tmpl w:val="D1BA59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97F7D71"/>
    <w:multiLevelType w:val="hybridMultilevel"/>
    <w:tmpl w:val="80AE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66735"/>
    <w:multiLevelType w:val="hybridMultilevel"/>
    <w:tmpl w:val="173EE8CA"/>
    <w:lvl w:ilvl="0" w:tplc="EA8A5B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FD616B"/>
    <w:multiLevelType w:val="hybridMultilevel"/>
    <w:tmpl w:val="028CF9E0"/>
    <w:lvl w:ilvl="0" w:tplc="04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5C01CE"/>
    <w:multiLevelType w:val="hybridMultilevel"/>
    <w:tmpl w:val="C9CABF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8"/>
  </w:num>
  <w:num w:numId="5">
    <w:abstractNumId w:val="5"/>
  </w:num>
  <w:num w:numId="6">
    <w:abstractNumId w:val="12"/>
  </w:num>
  <w:num w:numId="7">
    <w:abstractNumId w:val="11"/>
  </w:num>
  <w:num w:numId="8">
    <w:abstractNumId w:val="9"/>
  </w:num>
  <w:num w:numId="9">
    <w:abstractNumId w:val="4"/>
  </w:num>
  <w:num w:numId="10">
    <w:abstractNumId w:val="3"/>
  </w:num>
  <w:num w:numId="11">
    <w:abstractNumId w:val="7"/>
  </w:num>
  <w:num w:numId="12">
    <w:abstractNumId w:val="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08"/>
    <w:rsid w:val="000030A1"/>
    <w:rsid w:val="00011B19"/>
    <w:rsid w:val="00037839"/>
    <w:rsid w:val="00084962"/>
    <w:rsid w:val="000F5947"/>
    <w:rsid w:val="00100517"/>
    <w:rsid w:val="0012412E"/>
    <w:rsid w:val="00156069"/>
    <w:rsid w:val="00196625"/>
    <w:rsid w:val="001B3B04"/>
    <w:rsid w:val="00201CA6"/>
    <w:rsid w:val="00206B90"/>
    <w:rsid w:val="00211EAD"/>
    <w:rsid w:val="00256B5F"/>
    <w:rsid w:val="00275C4D"/>
    <w:rsid w:val="0028397B"/>
    <w:rsid w:val="002B4E8F"/>
    <w:rsid w:val="002E19A0"/>
    <w:rsid w:val="002F4A5A"/>
    <w:rsid w:val="002F76F5"/>
    <w:rsid w:val="00317DD3"/>
    <w:rsid w:val="00321FF4"/>
    <w:rsid w:val="00350ACE"/>
    <w:rsid w:val="00357008"/>
    <w:rsid w:val="003624C3"/>
    <w:rsid w:val="0038614E"/>
    <w:rsid w:val="00396551"/>
    <w:rsid w:val="003A3020"/>
    <w:rsid w:val="00452B08"/>
    <w:rsid w:val="00454039"/>
    <w:rsid w:val="00477C31"/>
    <w:rsid w:val="00481EF3"/>
    <w:rsid w:val="004D37CF"/>
    <w:rsid w:val="004D3E5B"/>
    <w:rsid w:val="005458C0"/>
    <w:rsid w:val="00552D96"/>
    <w:rsid w:val="005663BE"/>
    <w:rsid w:val="005A2479"/>
    <w:rsid w:val="005A3F31"/>
    <w:rsid w:val="005E3EB2"/>
    <w:rsid w:val="005F46B5"/>
    <w:rsid w:val="00603E64"/>
    <w:rsid w:val="006178A6"/>
    <w:rsid w:val="00626920"/>
    <w:rsid w:val="00627006"/>
    <w:rsid w:val="00645B5E"/>
    <w:rsid w:val="0065709C"/>
    <w:rsid w:val="00663BBA"/>
    <w:rsid w:val="00671C5E"/>
    <w:rsid w:val="0067358C"/>
    <w:rsid w:val="0067739F"/>
    <w:rsid w:val="006B56B1"/>
    <w:rsid w:val="006C5CA1"/>
    <w:rsid w:val="006D361B"/>
    <w:rsid w:val="006D3858"/>
    <w:rsid w:val="006E3B91"/>
    <w:rsid w:val="00710CF2"/>
    <w:rsid w:val="007422B6"/>
    <w:rsid w:val="007539D5"/>
    <w:rsid w:val="007545C4"/>
    <w:rsid w:val="00756D92"/>
    <w:rsid w:val="00757CB2"/>
    <w:rsid w:val="007A2087"/>
    <w:rsid w:val="00845189"/>
    <w:rsid w:val="00864460"/>
    <w:rsid w:val="0086677A"/>
    <w:rsid w:val="00872382"/>
    <w:rsid w:val="008A2006"/>
    <w:rsid w:val="008B659A"/>
    <w:rsid w:val="008C5548"/>
    <w:rsid w:val="008D0085"/>
    <w:rsid w:val="0090192A"/>
    <w:rsid w:val="00912F2D"/>
    <w:rsid w:val="00920E35"/>
    <w:rsid w:val="009326CA"/>
    <w:rsid w:val="00945794"/>
    <w:rsid w:val="009807B1"/>
    <w:rsid w:val="009A15F9"/>
    <w:rsid w:val="009D4334"/>
    <w:rsid w:val="009E284A"/>
    <w:rsid w:val="009F67BA"/>
    <w:rsid w:val="00A12403"/>
    <w:rsid w:val="00A434B2"/>
    <w:rsid w:val="00A55ACA"/>
    <w:rsid w:val="00A957AC"/>
    <w:rsid w:val="00AC558C"/>
    <w:rsid w:val="00B10F36"/>
    <w:rsid w:val="00B2345D"/>
    <w:rsid w:val="00B50872"/>
    <w:rsid w:val="00B70551"/>
    <w:rsid w:val="00B9417B"/>
    <w:rsid w:val="00BB19D2"/>
    <w:rsid w:val="00BD0B5D"/>
    <w:rsid w:val="00BD4DC1"/>
    <w:rsid w:val="00BE4159"/>
    <w:rsid w:val="00C42159"/>
    <w:rsid w:val="00C6763A"/>
    <w:rsid w:val="00CA41AC"/>
    <w:rsid w:val="00CA4F92"/>
    <w:rsid w:val="00CD4222"/>
    <w:rsid w:val="00CE16B5"/>
    <w:rsid w:val="00CE7471"/>
    <w:rsid w:val="00D07514"/>
    <w:rsid w:val="00D21884"/>
    <w:rsid w:val="00D36B9B"/>
    <w:rsid w:val="00D41E85"/>
    <w:rsid w:val="00D47D35"/>
    <w:rsid w:val="00D6735C"/>
    <w:rsid w:val="00DC0769"/>
    <w:rsid w:val="00DD2B5A"/>
    <w:rsid w:val="00E15D05"/>
    <w:rsid w:val="00E35495"/>
    <w:rsid w:val="00E36F7F"/>
    <w:rsid w:val="00E61AEC"/>
    <w:rsid w:val="00E827C4"/>
    <w:rsid w:val="00ED1FDB"/>
    <w:rsid w:val="00F026F5"/>
    <w:rsid w:val="00F425E4"/>
    <w:rsid w:val="00F85473"/>
    <w:rsid w:val="00F87014"/>
    <w:rsid w:val="00FA066B"/>
    <w:rsid w:val="00FA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7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C676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52B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R-Heading3">
    <w:name w:val="MER-Heading 3"/>
    <w:basedOn w:val="Normal"/>
    <w:autoRedefine/>
    <w:rsid w:val="00A957AC"/>
    <w:pPr>
      <w:numPr>
        <w:numId w:val="1"/>
      </w:numPr>
      <w:spacing w:before="240" w:after="120"/>
    </w:pPr>
    <w:rPr>
      <w:b/>
    </w:rPr>
  </w:style>
  <w:style w:type="paragraph" w:customStyle="1" w:styleId="Style1">
    <w:name w:val="Style1"/>
    <w:basedOn w:val="Heading4"/>
    <w:rsid w:val="00452B08"/>
    <w:pPr>
      <w:keepLines w:val="0"/>
      <w:spacing w:before="0" w:line="260" w:lineRule="exact"/>
      <w:jc w:val="both"/>
    </w:pPr>
    <w:rPr>
      <w:rFonts w:ascii="Arial Narrow" w:eastAsia="Times New Roman" w:hAnsi="Arial Narrow" w:cs="Times New Roman"/>
      <w:bCs w:val="0"/>
      <w:i w:val="0"/>
      <w:iCs w:val="0"/>
      <w:color w:val="auto"/>
    </w:rPr>
  </w:style>
  <w:style w:type="paragraph" w:customStyle="1" w:styleId="Style2">
    <w:name w:val="Style2"/>
    <w:basedOn w:val="Normal"/>
    <w:rsid w:val="00452B08"/>
    <w:pPr>
      <w:spacing w:line="260" w:lineRule="atLeast"/>
      <w:jc w:val="both"/>
    </w:pPr>
    <w:rPr>
      <w:rFonts w:ascii="Arial Black" w:hAnsi="Arial Black"/>
      <w:bCs/>
      <w:caps/>
      <w:szCs w:val="18"/>
    </w:rPr>
  </w:style>
  <w:style w:type="character" w:customStyle="1" w:styleId="Heading4Char">
    <w:name w:val="Heading 4 Char"/>
    <w:basedOn w:val="DefaultParagraphFont"/>
    <w:link w:val="Heading4"/>
    <w:uiPriority w:val="9"/>
    <w:semiHidden/>
    <w:rsid w:val="00452B08"/>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link w:val="ListParagraphChar"/>
    <w:uiPriority w:val="34"/>
    <w:qFormat/>
    <w:rsid w:val="00E35495"/>
    <w:pPr>
      <w:ind w:left="720"/>
      <w:contextualSpacing/>
    </w:pPr>
  </w:style>
  <w:style w:type="character" w:customStyle="1" w:styleId="Heading1Char">
    <w:name w:val="Heading 1 Char"/>
    <w:basedOn w:val="DefaultParagraphFont"/>
    <w:link w:val="Heading1"/>
    <w:uiPriority w:val="9"/>
    <w:rsid w:val="00C6763A"/>
    <w:rPr>
      <w:rFonts w:asciiTheme="majorHAnsi" w:eastAsiaTheme="majorEastAsia" w:hAnsiTheme="majorHAnsi" w:cstheme="majorBidi"/>
      <w:b/>
      <w:bCs/>
      <w:color w:val="365F91" w:themeColor="accent1" w:themeShade="BF"/>
      <w:sz w:val="28"/>
      <w:szCs w:val="28"/>
      <w:lang w:val="en-GB"/>
    </w:rPr>
  </w:style>
  <w:style w:type="paragraph" w:styleId="CommentText">
    <w:name w:val="annotation text"/>
    <w:basedOn w:val="Normal"/>
    <w:link w:val="CommentTextChar"/>
    <w:semiHidden/>
    <w:rsid w:val="00037839"/>
  </w:style>
  <w:style w:type="character" w:customStyle="1" w:styleId="CommentTextChar">
    <w:name w:val="Comment Text Char"/>
    <w:basedOn w:val="DefaultParagraphFont"/>
    <w:link w:val="CommentText"/>
    <w:semiHidden/>
    <w:rsid w:val="0003783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037839"/>
    <w:rPr>
      <w:b/>
      <w:bCs/>
    </w:rPr>
  </w:style>
  <w:style w:type="character" w:customStyle="1" w:styleId="CommentSubjectChar">
    <w:name w:val="Comment Subject Char"/>
    <w:basedOn w:val="CommentTextChar"/>
    <w:link w:val="CommentSubject"/>
    <w:semiHidden/>
    <w:rsid w:val="00037839"/>
    <w:rPr>
      <w:rFonts w:ascii="Times New Roman" w:eastAsia="Times New Roman" w:hAnsi="Times New Roman" w:cs="Times New Roman"/>
      <w:b/>
      <w:bCs/>
      <w:sz w:val="20"/>
      <w:szCs w:val="20"/>
      <w:lang w:val="en-GB"/>
    </w:rPr>
  </w:style>
  <w:style w:type="paragraph" w:customStyle="1" w:styleId="standard">
    <w:name w:val="standard"/>
    <w:basedOn w:val="Normal"/>
    <w:link w:val="standardChar"/>
    <w:qFormat/>
    <w:rsid w:val="00037839"/>
    <w:pPr>
      <w:spacing w:line="260" w:lineRule="atLeast"/>
      <w:jc w:val="both"/>
    </w:pPr>
    <w:rPr>
      <w:rFonts w:ascii="Verdana" w:hAnsi="Verdana"/>
      <w:sz w:val="17"/>
      <w:lang w:eastAsia="en-GB"/>
    </w:rPr>
  </w:style>
  <w:style w:type="character" w:customStyle="1" w:styleId="standardChar">
    <w:name w:val="standard Char"/>
    <w:link w:val="standard"/>
    <w:rsid w:val="00037839"/>
    <w:rPr>
      <w:rFonts w:ascii="Verdana" w:eastAsia="Times New Roman" w:hAnsi="Verdana" w:cs="Times New Roman"/>
      <w:sz w:val="17"/>
      <w:szCs w:val="20"/>
      <w:lang w:val="en-GB" w:eastAsia="en-GB"/>
    </w:rPr>
  </w:style>
  <w:style w:type="character" w:customStyle="1" w:styleId="hps">
    <w:name w:val="hps"/>
    <w:basedOn w:val="DefaultParagraphFont"/>
    <w:rsid w:val="00037839"/>
  </w:style>
  <w:style w:type="character" w:customStyle="1" w:styleId="alt-edited">
    <w:name w:val="alt-edited"/>
    <w:basedOn w:val="DefaultParagraphFont"/>
    <w:rsid w:val="00037839"/>
  </w:style>
  <w:style w:type="character" w:customStyle="1" w:styleId="atn">
    <w:name w:val="atn"/>
    <w:basedOn w:val="DefaultParagraphFont"/>
    <w:rsid w:val="00037839"/>
  </w:style>
  <w:style w:type="paragraph" w:styleId="Header">
    <w:name w:val="header"/>
    <w:basedOn w:val="Normal"/>
    <w:link w:val="HeaderChar"/>
    <w:uiPriority w:val="99"/>
    <w:unhideWhenUsed/>
    <w:rsid w:val="00F85473"/>
    <w:pPr>
      <w:tabs>
        <w:tab w:val="center" w:pos="4536"/>
        <w:tab w:val="right" w:pos="9072"/>
      </w:tabs>
    </w:pPr>
  </w:style>
  <w:style w:type="character" w:customStyle="1" w:styleId="HeaderChar">
    <w:name w:val="Header Char"/>
    <w:basedOn w:val="DefaultParagraphFont"/>
    <w:link w:val="Header"/>
    <w:uiPriority w:val="99"/>
    <w:rsid w:val="00F8547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85473"/>
    <w:pPr>
      <w:tabs>
        <w:tab w:val="center" w:pos="4536"/>
        <w:tab w:val="right" w:pos="9072"/>
      </w:tabs>
    </w:pPr>
  </w:style>
  <w:style w:type="character" w:customStyle="1" w:styleId="FooterChar">
    <w:name w:val="Footer Char"/>
    <w:basedOn w:val="DefaultParagraphFont"/>
    <w:link w:val="Footer"/>
    <w:uiPriority w:val="99"/>
    <w:rsid w:val="00F8547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85473"/>
    <w:rPr>
      <w:rFonts w:ascii="Tahoma" w:hAnsi="Tahoma" w:cs="Tahoma"/>
      <w:sz w:val="16"/>
      <w:szCs w:val="16"/>
    </w:rPr>
  </w:style>
  <w:style w:type="character" w:customStyle="1" w:styleId="BalloonTextChar">
    <w:name w:val="Balloon Text Char"/>
    <w:basedOn w:val="DefaultParagraphFont"/>
    <w:link w:val="BalloonText"/>
    <w:uiPriority w:val="99"/>
    <w:semiHidden/>
    <w:rsid w:val="00F85473"/>
    <w:rPr>
      <w:rFonts w:ascii="Tahoma" w:eastAsia="Times New Roman" w:hAnsi="Tahoma" w:cs="Tahoma"/>
      <w:sz w:val="16"/>
      <w:szCs w:val="16"/>
      <w:lang w:val="en-GB"/>
    </w:rPr>
  </w:style>
  <w:style w:type="character" w:customStyle="1" w:styleId="apple-converted-space">
    <w:name w:val="apple-converted-space"/>
    <w:basedOn w:val="DefaultParagraphFont"/>
    <w:rsid w:val="00CA41AC"/>
  </w:style>
  <w:style w:type="character" w:styleId="Hyperlink">
    <w:name w:val="Hyperlink"/>
    <w:basedOn w:val="DefaultParagraphFont"/>
    <w:uiPriority w:val="99"/>
    <w:semiHidden/>
    <w:unhideWhenUsed/>
    <w:rsid w:val="00CA41AC"/>
    <w:rPr>
      <w:color w:val="0000FF"/>
      <w:u w:val="single"/>
    </w:rPr>
  </w:style>
  <w:style w:type="character" w:customStyle="1" w:styleId="ListParagraphChar">
    <w:name w:val="List Paragraph Char"/>
    <w:link w:val="ListParagraph"/>
    <w:uiPriority w:val="34"/>
    <w:rsid w:val="00D47D35"/>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7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C676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52B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R-Heading3">
    <w:name w:val="MER-Heading 3"/>
    <w:basedOn w:val="Normal"/>
    <w:autoRedefine/>
    <w:rsid w:val="00A957AC"/>
    <w:pPr>
      <w:numPr>
        <w:numId w:val="1"/>
      </w:numPr>
      <w:spacing w:before="240" w:after="120"/>
    </w:pPr>
    <w:rPr>
      <w:b/>
    </w:rPr>
  </w:style>
  <w:style w:type="paragraph" w:customStyle="1" w:styleId="Style1">
    <w:name w:val="Style1"/>
    <w:basedOn w:val="Heading4"/>
    <w:rsid w:val="00452B08"/>
    <w:pPr>
      <w:keepLines w:val="0"/>
      <w:spacing w:before="0" w:line="260" w:lineRule="exact"/>
      <w:jc w:val="both"/>
    </w:pPr>
    <w:rPr>
      <w:rFonts w:ascii="Arial Narrow" w:eastAsia="Times New Roman" w:hAnsi="Arial Narrow" w:cs="Times New Roman"/>
      <w:bCs w:val="0"/>
      <w:i w:val="0"/>
      <w:iCs w:val="0"/>
      <w:color w:val="auto"/>
    </w:rPr>
  </w:style>
  <w:style w:type="paragraph" w:customStyle="1" w:styleId="Style2">
    <w:name w:val="Style2"/>
    <w:basedOn w:val="Normal"/>
    <w:rsid w:val="00452B08"/>
    <w:pPr>
      <w:spacing w:line="260" w:lineRule="atLeast"/>
      <w:jc w:val="both"/>
    </w:pPr>
    <w:rPr>
      <w:rFonts w:ascii="Arial Black" w:hAnsi="Arial Black"/>
      <w:bCs/>
      <w:caps/>
      <w:szCs w:val="18"/>
    </w:rPr>
  </w:style>
  <w:style w:type="character" w:customStyle="1" w:styleId="Heading4Char">
    <w:name w:val="Heading 4 Char"/>
    <w:basedOn w:val="DefaultParagraphFont"/>
    <w:link w:val="Heading4"/>
    <w:uiPriority w:val="9"/>
    <w:semiHidden/>
    <w:rsid w:val="00452B08"/>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link w:val="ListParagraphChar"/>
    <w:uiPriority w:val="34"/>
    <w:qFormat/>
    <w:rsid w:val="00E35495"/>
    <w:pPr>
      <w:ind w:left="720"/>
      <w:contextualSpacing/>
    </w:pPr>
  </w:style>
  <w:style w:type="character" w:customStyle="1" w:styleId="Heading1Char">
    <w:name w:val="Heading 1 Char"/>
    <w:basedOn w:val="DefaultParagraphFont"/>
    <w:link w:val="Heading1"/>
    <w:uiPriority w:val="9"/>
    <w:rsid w:val="00C6763A"/>
    <w:rPr>
      <w:rFonts w:asciiTheme="majorHAnsi" w:eastAsiaTheme="majorEastAsia" w:hAnsiTheme="majorHAnsi" w:cstheme="majorBidi"/>
      <w:b/>
      <w:bCs/>
      <w:color w:val="365F91" w:themeColor="accent1" w:themeShade="BF"/>
      <w:sz w:val="28"/>
      <w:szCs w:val="28"/>
      <w:lang w:val="en-GB"/>
    </w:rPr>
  </w:style>
  <w:style w:type="paragraph" w:styleId="CommentText">
    <w:name w:val="annotation text"/>
    <w:basedOn w:val="Normal"/>
    <w:link w:val="CommentTextChar"/>
    <w:semiHidden/>
    <w:rsid w:val="00037839"/>
  </w:style>
  <w:style w:type="character" w:customStyle="1" w:styleId="CommentTextChar">
    <w:name w:val="Comment Text Char"/>
    <w:basedOn w:val="DefaultParagraphFont"/>
    <w:link w:val="CommentText"/>
    <w:semiHidden/>
    <w:rsid w:val="0003783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037839"/>
    <w:rPr>
      <w:b/>
      <w:bCs/>
    </w:rPr>
  </w:style>
  <w:style w:type="character" w:customStyle="1" w:styleId="CommentSubjectChar">
    <w:name w:val="Comment Subject Char"/>
    <w:basedOn w:val="CommentTextChar"/>
    <w:link w:val="CommentSubject"/>
    <w:semiHidden/>
    <w:rsid w:val="00037839"/>
    <w:rPr>
      <w:rFonts w:ascii="Times New Roman" w:eastAsia="Times New Roman" w:hAnsi="Times New Roman" w:cs="Times New Roman"/>
      <w:b/>
      <w:bCs/>
      <w:sz w:val="20"/>
      <w:szCs w:val="20"/>
      <w:lang w:val="en-GB"/>
    </w:rPr>
  </w:style>
  <w:style w:type="paragraph" w:customStyle="1" w:styleId="standard">
    <w:name w:val="standard"/>
    <w:basedOn w:val="Normal"/>
    <w:link w:val="standardChar"/>
    <w:qFormat/>
    <w:rsid w:val="00037839"/>
    <w:pPr>
      <w:spacing w:line="260" w:lineRule="atLeast"/>
      <w:jc w:val="both"/>
    </w:pPr>
    <w:rPr>
      <w:rFonts w:ascii="Verdana" w:hAnsi="Verdana"/>
      <w:sz w:val="17"/>
      <w:lang w:eastAsia="en-GB"/>
    </w:rPr>
  </w:style>
  <w:style w:type="character" w:customStyle="1" w:styleId="standardChar">
    <w:name w:val="standard Char"/>
    <w:link w:val="standard"/>
    <w:rsid w:val="00037839"/>
    <w:rPr>
      <w:rFonts w:ascii="Verdana" w:eastAsia="Times New Roman" w:hAnsi="Verdana" w:cs="Times New Roman"/>
      <w:sz w:val="17"/>
      <w:szCs w:val="20"/>
      <w:lang w:val="en-GB" w:eastAsia="en-GB"/>
    </w:rPr>
  </w:style>
  <w:style w:type="character" w:customStyle="1" w:styleId="hps">
    <w:name w:val="hps"/>
    <w:basedOn w:val="DefaultParagraphFont"/>
    <w:rsid w:val="00037839"/>
  </w:style>
  <w:style w:type="character" w:customStyle="1" w:styleId="alt-edited">
    <w:name w:val="alt-edited"/>
    <w:basedOn w:val="DefaultParagraphFont"/>
    <w:rsid w:val="00037839"/>
  </w:style>
  <w:style w:type="character" w:customStyle="1" w:styleId="atn">
    <w:name w:val="atn"/>
    <w:basedOn w:val="DefaultParagraphFont"/>
    <w:rsid w:val="00037839"/>
  </w:style>
  <w:style w:type="paragraph" w:styleId="Header">
    <w:name w:val="header"/>
    <w:basedOn w:val="Normal"/>
    <w:link w:val="HeaderChar"/>
    <w:uiPriority w:val="99"/>
    <w:unhideWhenUsed/>
    <w:rsid w:val="00F85473"/>
    <w:pPr>
      <w:tabs>
        <w:tab w:val="center" w:pos="4536"/>
        <w:tab w:val="right" w:pos="9072"/>
      </w:tabs>
    </w:pPr>
  </w:style>
  <w:style w:type="character" w:customStyle="1" w:styleId="HeaderChar">
    <w:name w:val="Header Char"/>
    <w:basedOn w:val="DefaultParagraphFont"/>
    <w:link w:val="Header"/>
    <w:uiPriority w:val="99"/>
    <w:rsid w:val="00F8547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85473"/>
    <w:pPr>
      <w:tabs>
        <w:tab w:val="center" w:pos="4536"/>
        <w:tab w:val="right" w:pos="9072"/>
      </w:tabs>
    </w:pPr>
  </w:style>
  <w:style w:type="character" w:customStyle="1" w:styleId="FooterChar">
    <w:name w:val="Footer Char"/>
    <w:basedOn w:val="DefaultParagraphFont"/>
    <w:link w:val="Footer"/>
    <w:uiPriority w:val="99"/>
    <w:rsid w:val="00F8547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85473"/>
    <w:rPr>
      <w:rFonts w:ascii="Tahoma" w:hAnsi="Tahoma" w:cs="Tahoma"/>
      <w:sz w:val="16"/>
      <w:szCs w:val="16"/>
    </w:rPr>
  </w:style>
  <w:style w:type="character" w:customStyle="1" w:styleId="BalloonTextChar">
    <w:name w:val="Balloon Text Char"/>
    <w:basedOn w:val="DefaultParagraphFont"/>
    <w:link w:val="BalloonText"/>
    <w:uiPriority w:val="99"/>
    <w:semiHidden/>
    <w:rsid w:val="00F85473"/>
    <w:rPr>
      <w:rFonts w:ascii="Tahoma" w:eastAsia="Times New Roman" w:hAnsi="Tahoma" w:cs="Tahoma"/>
      <w:sz w:val="16"/>
      <w:szCs w:val="16"/>
      <w:lang w:val="en-GB"/>
    </w:rPr>
  </w:style>
  <w:style w:type="character" w:customStyle="1" w:styleId="apple-converted-space">
    <w:name w:val="apple-converted-space"/>
    <w:basedOn w:val="DefaultParagraphFont"/>
    <w:rsid w:val="00CA41AC"/>
  </w:style>
  <w:style w:type="character" w:styleId="Hyperlink">
    <w:name w:val="Hyperlink"/>
    <w:basedOn w:val="DefaultParagraphFont"/>
    <w:uiPriority w:val="99"/>
    <w:semiHidden/>
    <w:unhideWhenUsed/>
    <w:rsid w:val="00CA41AC"/>
    <w:rPr>
      <w:color w:val="0000FF"/>
      <w:u w:val="single"/>
    </w:rPr>
  </w:style>
  <w:style w:type="character" w:customStyle="1" w:styleId="ListParagraphChar">
    <w:name w:val="List Paragraph Char"/>
    <w:link w:val="ListParagraph"/>
    <w:uiPriority w:val="34"/>
    <w:rsid w:val="00D47D35"/>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46A6-5C50-4531-B276-853DCC0D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332</Words>
  <Characters>1898</Characters>
  <Application>Microsoft Office Word</Application>
  <DocSecurity>0</DocSecurity>
  <Lines>15</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Council of Europe</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KPKONPI</cp:lastModifiedBy>
  <cp:revision>11</cp:revision>
  <dcterms:created xsi:type="dcterms:W3CDTF">2020-08-28T09:04:00Z</dcterms:created>
  <dcterms:modified xsi:type="dcterms:W3CDTF">2020-08-31T11:36:00Z</dcterms:modified>
</cp:coreProperties>
</file>